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D2D6F3" w14:textId="77777777" w:rsidR="00BD7BC8" w:rsidRPr="002D2FF7" w:rsidRDefault="00BD7BC8" w:rsidP="00BD7BC8">
      <w:pPr>
        <w:pStyle w:val="Caption"/>
        <w:spacing w:line="240" w:lineRule="auto"/>
        <w:ind w:left="540"/>
        <w:rPr>
          <w:rFonts w:ascii="Arial" w:hAnsi="Arial" w:cs="Arial"/>
          <w:color w:val="000000" w:themeColor="text1"/>
          <w:sz w:val="22"/>
          <w:szCs w:val="22"/>
          <w:lang w:val="en-GB"/>
        </w:rPr>
      </w:pPr>
      <w:r>
        <w:rPr>
          <w:rFonts w:ascii="Arial" w:hAnsi="Arial" w:cs="Arial"/>
          <w:color w:val="000000" w:themeColor="text1"/>
          <w:sz w:val="22"/>
          <w:szCs w:val="22"/>
          <w:lang w:val="en-GB"/>
        </w:rPr>
        <w:t xml:space="preserve">THAI OIL </w:t>
      </w:r>
      <w:r w:rsidRPr="002D2FF7">
        <w:rPr>
          <w:rFonts w:ascii="Arial" w:hAnsi="Arial" w:cs="Arial"/>
          <w:color w:val="000000" w:themeColor="text1"/>
          <w:sz w:val="22"/>
          <w:szCs w:val="22"/>
          <w:lang w:val="en-GB"/>
        </w:rPr>
        <w:t xml:space="preserve">PUBLIC COMPANY LIMITED </w:t>
      </w:r>
    </w:p>
    <w:p w14:paraId="358D10CE" w14:textId="77777777" w:rsidR="00BD7BC8" w:rsidRPr="002D2FF7" w:rsidRDefault="00BD7BC8" w:rsidP="00BD7BC8">
      <w:pPr>
        <w:suppressAutoHyphens/>
        <w:spacing w:after="0" w:line="240" w:lineRule="auto"/>
        <w:ind w:left="540"/>
        <w:rPr>
          <w:rFonts w:ascii="Arial" w:hAnsi="Arial" w:cs="Arial"/>
          <w:b/>
          <w:bCs/>
          <w:color w:val="000000" w:themeColor="text1"/>
          <w:szCs w:val="22"/>
        </w:rPr>
      </w:pPr>
    </w:p>
    <w:p w14:paraId="7FCA714B" w14:textId="77777777" w:rsidR="00BD7BC8" w:rsidRPr="002D2FF7" w:rsidRDefault="00BD7BC8" w:rsidP="00BD7BC8">
      <w:pPr>
        <w:suppressAutoHyphens/>
        <w:spacing w:after="0" w:line="240" w:lineRule="auto"/>
        <w:ind w:left="540"/>
        <w:rPr>
          <w:rFonts w:ascii="Arial" w:hAnsi="Arial" w:cs="Arial"/>
          <w:b/>
          <w:bCs/>
          <w:color w:val="000000" w:themeColor="text1"/>
          <w:szCs w:val="22"/>
        </w:rPr>
      </w:pPr>
    </w:p>
    <w:p w14:paraId="14694EDF" w14:textId="77777777" w:rsidR="00BD7BC8" w:rsidRPr="002D2FF7" w:rsidRDefault="00BD7BC8" w:rsidP="00BD7BC8">
      <w:pPr>
        <w:keepNext/>
        <w:spacing w:after="0" w:line="240" w:lineRule="auto"/>
        <w:ind w:left="540"/>
        <w:rPr>
          <w:rFonts w:ascii="Arial" w:hAnsi="Arial" w:cs="Arial"/>
          <w:b/>
          <w:bCs/>
          <w:color w:val="000000" w:themeColor="text1"/>
          <w:szCs w:val="22"/>
        </w:rPr>
      </w:pPr>
      <w:r w:rsidRPr="002D2FF7">
        <w:rPr>
          <w:rFonts w:ascii="Arial" w:hAnsi="Arial" w:cs="Arial"/>
          <w:b/>
          <w:bCs/>
          <w:color w:val="000000" w:themeColor="text1"/>
          <w:szCs w:val="22"/>
        </w:rPr>
        <w:t>CONSOLIDATED AND SEPARATE FINANCIAL STATEMENTS</w:t>
      </w:r>
    </w:p>
    <w:p w14:paraId="270387F8" w14:textId="77777777" w:rsidR="00BD7BC8" w:rsidRPr="002D2FF7" w:rsidRDefault="00BD7BC8" w:rsidP="00BD7BC8">
      <w:pPr>
        <w:suppressAutoHyphens/>
        <w:spacing w:after="0" w:line="240" w:lineRule="auto"/>
        <w:ind w:left="540"/>
        <w:rPr>
          <w:rFonts w:ascii="Arial" w:hAnsi="Arial" w:cs="Arial"/>
          <w:b/>
          <w:bCs/>
          <w:color w:val="000000" w:themeColor="text1"/>
          <w:szCs w:val="22"/>
        </w:rPr>
      </w:pPr>
    </w:p>
    <w:p w14:paraId="3E2F9645" w14:textId="75B72889" w:rsidR="00A2461A" w:rsidRPr="003F6DC6" w:rsidRDefault="00BD7BC8" w:rsidP="003F6DC6">
      <w:pPr>
        <w:pStyle w:val="Default"/>
        <w:ind w:left="540"/>
        <w:rPr>
          <w:color w:val="000000" w:themeColor="text1"/>
          <w:sz w:val="20"/>
          <w:szCs w:val="20"/>
        </w:rPr>
        <w:sectPr w:rsidR="00A2461A" w:rsidRPr="003F6DC6" w:rsidSect="00B06513">
          <w:headerReference w:type="default" r:id="rId8"/>
          <w:pgSz w:w="11909" w:h="16834" w:code="9"/>
          <w:pgMar w:top="4179" w:right="2880" w:bottom="10081" w:left="1797" w:header="709" w:footer="709" w:gutter="0"/>
          <w:cols w:space="708"/>
          <w:docGrid w:linePitch="360"/>
        </w:sectPr>
      </w:pPr>
      <w:r w:rsidRPr="00CB0A8C">
        <w:rPr>
          <w:b/>
          <w:bCs/>
          <w:color w:val="000000" w:themeColor="text1"/>
          <w:sz w:val="22"/>
          <w:szCs w:val="22"/>
        </w:rPr>
        <w:t xml:space="preserve">31 </w:t>
      </w:r>
      <w:r>
        <w:rPr>
          <w:b/>
          <w:bCs/>
          <w:color w:val="000000" w:themeColor="text1"/>
          <w:sz w:val="22"/>
          <w:szCs w:val="22"/>
        </w:rPr>
        <w:t>DECEMBER</w:t>
      </w:r>
      <w:r w:rsidRPr="00CB0A8C">
        <w:rPr>
          <w:b/>
          <w:bCs/>
          <w:color w:val="000000" w:themeColor="text1"/>
          <w:sz w:val="22"/>
          <w:szCs w:val="22"/>
        </w:rPr>
        <w:t xml:space="preserve"> </w:t>
      </w:r>
      <w:r>
        <w:rPr>
          <w:b/>
          <w:bCs/>
          <w:color w:val="000000" w:themeColor="text1"/>
          <w:sz w:val="22"/>
          <w:szCs w:val="22"/>
        </w:rPr>
        <w:t>202</w:t>
      </w:r>
      <w:r w:rsidR="003F6DC6">
        <w:rPr>
          <w:b/>
          <w:bCs/>
          <w:color w:val="000000" w:themeColor="text1"/>
          <w:sz w:val="22"/>
          <w:szCs w:val="22"/>
        </w:rPr>
        <w:t>1</w:t>
      </w:r>
    </w:p>
    <w:p w14:paraId="6D345EAC" w14:textId="67A84A19" w:rsidR="00790517" w:rsidRPr="002757B2" w:rsidRDefault="00790517">
      <w:pPr>
        <w:pStyle w:val="Default"/>
        <w:rPr>
          <w:rFonts w:eastAsia="Calibri"/>
          <w:b/>
          <w:bCs/>
          <w:color w:val="CF4A02"/>
          <w:sz w:val="22"/>
          <w:szCs w:val="22"/>
        </w:rPr>
      </w:pPr>
      <w:r w:rsidRPr="002757B2">
        <w:rPr>
          <w:rFonts w:eastAsia="Calibri"/>
          <w:b/>
          <w:bCs/>
          <w:color w:val="CF4A02"/>
          <w:sz w:val="22"/>
          <w:szCs w:val="22"/>
        </w:rPr>
        <w:lastRenderedPageBreak/>
        <w:t>I</w:t>
      </w:r>
      <w:r w:rsidR="00886FDA" w:rsidRPr="002757B2">
        <w:rPr>
          <w:rFonts w:eastAsia="Calibri"/>
          <w:b/>
          <w:bCs/>
          <w:color w:val="CF4A02"/>
          <w:sz w:val="22"/>
          <w:szCs w:val="22"/>
        </w:rPr>
        <w:t>ndependent</w:t>
      </w:r>
      <w:r w:rsidRPr="002757B2">
        <w:rPr>
          <w:rFonts w:eastAsia="Calibri"/>
          <w:b/>
          <w:bCs/>
          <w:color w:val="CF4A02"/>
          <w:sz w:val="22"/>
          <w:szCs w:val="22"/>
        </w:rPr>
        <w:t xml:space="preserve"> </w:t>
      </w:r>
      <w:r w:rsidR="008E0FC2" w:rsidRPr="002757B2">
        <w:rPr>
          <w:rFonts w:eastAsia="Calibri"/>
          <w:b/>
          <w:bCs/>
          <w:color w:val="CF4A02"/>
          <w:sz w:val="22"/>
          <w:szCs w:val="22"/>
        </w:rPr>
        <w:t>A</w:t>
      </w:r>
      <w:r w:rsidR="00886FDA" w:rsidRPr="002757B2">
        <w:rPr>
          <w:rFonts w:eastAsia="Calibri"/>
          <w:b/>
          <w:bCs/>
          <w:color w:val="CF4A02"/>
          <w:sz w:val="22"/>
          <w:szCs w:val="22"/>
        </w:rPr>
        <w:t>uditor</w:t>
      </w:r>
      <w:r w:rsidRPr="002757B2">
        <w:rPr>
          <w:rFonts w:eastAsia="Calibri"/>
          <w:b/>
          <w:bCs/>
          <w:color w:val="CF4A02"/>
          <w:sz w:val="22"/>
          <w:szCs w:val="22"/>
        </w:rPr>
        <w:t>’</w:t>
      </w:r>
      <w:r w:rsidR="00886FDA" w:rsidRPr="002757B2">
        <w:rPr>
          <w:rFonts w:eastAsia="Calibri"/>
          <w:b/>
          <w:bCs/>
          <w:color w:val="CF4A02"/>
          <w:sz w:val="22"/>
          <w:szCs w:val="22"/>
        </w:rPr>
        <w:t xml:space="preserve">s </w:t>
      </w:r>
      <w:r w:rsidR="008E0FC2" w:rsidRPr="002757B2">
        <w:rPr>
          <w:rFonts w:eastAsia="Calibri"/>
          <w:b/>
          <w:bCs/>
          <w:color w:val="CF4A02"/>
          <w:sz w:val="22"/>
          <w:szCs w:val="22"/>
        </w:rPr>
        <w:t>R</w:t>
      </w:r>
      <w:r w:rsidR="00886FDA" w:rsidRPr="002757B2">
        <w:rPr>
          <w:rFonts w:eastAsia="Calibri"/>
          <w:b/>
          <w:bCs/>
          <w:color w:val="CF4A02"/>
          <w:sz w:val="22"/>
          <w:szCs w:val="22"/>
        </w:rPr>
        <w:t>eport</w:t>
      </w:r>
    </w:p>
    <w:p w14:paraId="0D20DB75" w14:textId="77777777" w:rsidR="000D55B0" w:rsidRPr="002757B2" w:rsidRDefault="000D55B0">
      <w:pPr>
        <w:pStyle w:val="Default"/>
        <w:rPr>
          <w:b/>
          <w:bCs/>
          <w:color w:val="CF4A02"/>
          <w:sz w:val="20"/>
          <w:szCs w:val="20"/>
        </w:rPr>
      </w:pPr>
    </w:p>
    <w:p w14:paraId="408FCB6E" w14:textId="77777777" w:rsidR="000D55B0" w:rsidRPr="002757B2" w:rsidRDefault="000D55B0">
      <w:pPr>
        <w:pStyle w:val="Default"/>
        <w:rPr>
          <w:color w:val="CF4A02"/>
          <w:sz w:val="20"/>
          <w:szCs w:val="20"/>
        </w:rPr>
      </w:pPr>
    </w:p>
    <w:p w14:paraId="677C1014" w14:textId="77777777" w:rsidR="00790517" w:rsidRPr="00D957E4" w:rsidRDefault="00E07F94">
      <w:pPr>
        <w:pStyle w:val="Default"/>
        <w:rPr>
          <w:rFonts w:eastAsia="Calibri" w:cstheme="minorBidi"/>
          <w:color w:val="CF4A02"/>
          <w:sz w:val="20"/>
          <w:szCs w:val="20"/>
          <w:cs/>
        </w:rPr>
      </w:pPr>
      <w:r w:rsidRPr="002757B2">
        <w:rPr>
          <w:rFonts w:eastAsia="Calibri"/>
          <w:color w:val="CF4A02"/>
          <w:sz w:val="20"/>
          <w:szCs w:val="20"/>
        </w:rPr>
        <w:t>To the s</w:t>
      </w:r>
      <w:r w:rsidR="00790517" w:rsidRPr="002757B2">
        <w:rPr>
          <w:rFonts w:eastAsia="Calibri"/>
          <w:color w:val="CF4A02"/>
          <w:sz w:val="20"/>
          <w:szCs w:val="20"/>
        </w:rPr>
        <w:t xml:space="preserve">hareholders </w:t>
      </w:r>
      <w:r w:rsidR="00D11F81" w:rsidRPr="002757B2">
        <w:rPr>
          <w:rFonts w:eastAsia="Calibri"/>
          <w:color w:val="CF4A02"/>
          <w:sz w:val="20"/>
          <w:szCs w:val="20"/>
        </w:rPr>
        <w:t>and the Board of Directors</w:t>
      </w:r>
      <w:r w:rsidR="005F1C97" w:rsidRPr="002757B2">
        <w:rPr>
          <w:rFonts w:eastAsia="Calibri"/>
          <w:color w:val="CF4A02"/>
          <w:sz w:val="20"/>
          <w:szCs w:val="20"/>
        </w:rPr>
        <w:t xml:space="preserve"> of </w:t>
      </w:r>
      <w:r w:rsidR="00D55385">
        <w:rPr>
          <w:rFonts w:eastAsia="Calibri"/>
          <w:color w:val="CF4A02"/>
          <w:sz w:val="20"/>
          <w:szCs w:val="20"/>
        </w:rPr>
        <w:t>Thai Oil Public Company Limited</w:t>
      </w:r>
    </w:p>
    <w:p w14:paraId="1D81B64B" w14:textId="77777777" w:rsidR="00790517" w:rsidRPr="002757B2" w:rsidRDefault="00790517">
      <w:pPr>
        <w:pStyle w:val="Default"/>
        <w:rPr>
          <w:b/>
          <w:bCs/>
          <w:color w:val="CF4A02"/>
          <w:sz w:val="20"/>
          <w:szCs w:val="20"/>
        </w:rPr>
      </w:pPr>
    </w:p>
    <w:p w14:paraId="143B2BB9" w14:textId="77777777" w:rsidR="00790517" w:rsidRPr="002757B2" w:rsidRDefault="00790517">
      <w:pPr>
        <w:pStyle w:val="Default"/>
        <w:rPr>
          <w:b/>
          <w:bCs/>
          <w:color w:val="CF4A02"/>
          <w:sz w:val="20"/>
          <w:szCs w:val="20"/>
        </w:rPr>
      </w:pPr>
    </w:p>
    <w:p w14:paraId="3D090ED5" w14:textId="77777777" w:rsidR="00790517" w:rsidRPr="002757B2" w:rsidRDefault="009D6C4B" w:rsidP="00F67AF3">
      <w:pPr>
        <w:pStyle w:val="Default"/>
        <w:jc w:val="thaiDistribute"/>
        <w:rPr>
          <w:rFonts w:eastAsia="Calibri"/>
          <w:b/>
          <w:bCs/>
          <w:color w:val="CF4A02"/>
          <w:sz w:val="20"/>
          <w:szCs w:val="20"/>
        </w:rPr>
      </w:pPr>
      <w:r w:rsidRPr="002757B2">
        <w:rPr>
          <w:rFonts w:eastAsia="Calibri"/>
          <w:b/>
          <w:bCs/>
          <w:color w:val="CF4A02"/>
          <w:sz w:val="20"/>
          <w:szCs w:val="20"/>
        </w:rPr>
        <w:t>My o</w:t>
      </w:r>
      <w:r w:rsidR="00790517" w:rsidRPr="002757B2">
        <w:rPr>
          <w:rFonts w:eastAsia="Calibri"/>
          <w:b/>
          <w:bCs/>
          <w:color w:val="CF4A02"/>
          <w:sz w:val="20"/>
          <w:szCs w:val="20"/>
        </w:rPr>
        <w:t xml:space="preserve">pinion </w:t>
      </w:r>
    </w:p>
    <w:p w14:paraId="1F8AC4D1" w14:textId="77777777" w:rsidR="00E3702E" w:rsidRPr="002757B2" w:rsidRDefault="00E3702E" w:rsidP="00F67AF3">
      <w:pPr>
        <w:pStyle w:val="Default"/>
        <w:jc w:val="thaiDistribute"/>
        <w:rPr>
          <w:rFonts w:eastAsia="Calibri"/>
          <w:b/>
          <w:bCs/>
          <w:color w:val="000000" w:themeColor="text1"/>
          <w:sz w:val="20"/>
          <w:szCs w:val="20"/>
        </w:rPr>
      </w:pPr>
    </w:p>
    <w:p w14:paraId="29AD4BB0" w14:textId="6DDA73F6" w:rsidR="009D6C4B" w:rsidRPr="00A47487" w:rsidRDefault="009D6C4B" w:rsidP="008B018B">
      <w:pPr>
        <w:spacing w:after="0" w:line="240" w:lineRule="auto"/>
        <w:jc w:val="thaiDistribute"/>
        <w:rPr>
          <w:rFonts w:ascii="Arial" w:hAnsi="Arial" w:cs="Arial"/>
          <w:color w:val="000000" w:themeColor="text1"/>
          <w:sz w:val="20"/>
          <w:szCs w:val="20"/>
        </w:rPr>
      </w:pPr>
      <w:r w:rsidRPr="00A47487">
        <w:rPr>
          <w:rFonts w:ascii="Arial" w:hAnsi="Arial" w:cs="Arial"/>
          <w:color w:val="000000" w:themeColor="text1"/>
          <w:sz w:val="20"/>
          <w:szCs w:val="20"/>
        </w:rPr>
        <w:t xml:space="preserve">In my opinion, the consolidated </w:t>
      </w:r>
      <w:r w:rsidR="00AF7479" w:rsidRPr="00A47487">
        <w:rPr>
          <w:rFonts w:ascii="Arial" w:hAnsi="Arial" w:cs="Arial"/>
          <w:color w:val="000000" w:themeColor="text1"/>
          <w:sz w:val="20"/>
          <w:szCs w:val="20"/>
        </w:rPr>
        <w:t xml:space="preserve">financial statements </w:t>
      </w:r>
      <w:r w:rsidR="00AF7479" w:rsidRPr="00A47487">
        <w:rPr>
          <w:rFonts w:ascii="Arial" w:hAnsi="Arial" w:cs="Arial"/>
          <w:color w:val="000000" w:themeColor="text1"/>
          <w:sz w:val="20"/>
          <w:szCs w:val="20"/>
          <w:lang w:val="en-US"/>
        </w:rPr>
        <w:t xml:space="preserve">and the </w:t>
      </w:r>
      <w:r w:rsidR="00AF7479" w:rsidRPr="00A47487">
        <w:rPr>
          <w:rFonts w:ascii="Arial" w:hAnsi="Arial" w:cs="Arial"/>
          <w:color w:val="000000" w:themeColor="text1"/>
          <w:sz w:val="20"/>
          <w:szCs w:val="20"/>
        </w:rPr>
        <w:t xml:space="preserve">separate financial statements </w:t>
      </w:r>
      <w:r w:rsidRPr="00A47487">
        <w:rPr>
          <w:rFonts w:ascii="Arial" w:hAnsi="Arial" w:cs="Arial"/>
          <w:color w:val="000000" w:themeColor="text1"/>
          <w:sz w:val="20"/>
          <w:szCs w:val="20"/>
        </w:rPr>
        <w:t xml:space="preserve">present fairly, </w:t>
      </w:r>
      <w:r w:rsidRPr="00A47487">
        <w:rPr>
          <w:rFonts w:ascii="Arial" w:hAnsi="Arial" w:cs="Arial"/>
          <w:color w:val="000000" w:themeColor="text1"/>
          <w:spacing w:val="-4"/>
          <w:sz w:val="20"/>
          <w:szCs w:val="20"/>
        </w:rPr>
        <w:t>in all material respects, the consolidated financial position of</w:t>
      </w:r>
      <w:r w:rsidR="00272B60" w:rsidRPr="00A47487">
        <w:rPr>
          <w:rFonts w:ascii="Arial" w:hAnsi="Arial" w:cs="Arial"/>
          <w:color w:val="000000" w:themeColor="text1"/>
          <w:spacing w:val="-4"/>
          <w:sz w:val="20"/>
          <w:szCs w:val="20"/>
        </w:rPr>
        <w:t xml:space="preserve"> </w:t>
      </w:r>
      <w:r w:rsidR="00D55385" w:rsidRPr="00A47487">
        <w:rPr>
          <w:rFonts w:ascii="Arial" w:hAnsi="Arial" w:cs="Arial"/>
          <w:color w:val="000000" w:themeColor="text1"/>
          <w:spacing w:val="-4"/>
          <w:sz w:val="20"/>
          <w:szCs w:val="20"/>
        </w:rPr>
        <w:t>Thai Oil Public Company Limited</w:t>
      </w:r>
      <w:r w:rsidR="00D55385" w:rsidRPr="00A47487">
        <w:rPr>
          <w:rFonts w:ascii="Arial" w:hAnsi="Arial"/>
          <w:i/>
          <w:iCs/>
          <w:color w:val="000000" w:themeColor="text1"/>
          <w:spacing w:val="-4"/>
          <w:sz w:val="20"/>
          <w:szCs w:val="20"/>
        </w:rPr>
        <w:t xml:space="preserve"> </w:t>
      </w:r>
      <w:r w:rsidR="00272B60" w:rsidRPr="00A47487">
        <w:rPr>
          <w:rFonts w:ascii="Arial" w:hAnsi="Arial" w:cs="Arial"/>
          <w:color w:val="000000" w:themeColor="text1"/>
          <w:spacing w:val="-4"/>
          <w:sz w:val="20"/>
          <w:szCs w:val="20"/>
        </w:rPr>
        <w:t>(the Company)</w:t>
      </w:r>
      <w:r w:rsidR="00272B60" w:rsidRPr="00A47487">
        <w:rPr>
          <w:rFonts w:ascii="Arial" w:hAnsi="Arial" w:cs="Arial"/>
          <w:color w:val="000000" w:themeColor="text1"/>
          <w:sz w:val="20"/>
          <w:szCs w:val="20"/>
        </w:rPr>
        <w:t xml:space="preserve"> </w:t>
      </w:r>
      <w:r w:rsidR="00272B60" w:rsidRPr="00A47487">
        <w:rPr>
          <w:rFonts w:ascii="Arial" w:hAnsi="Arial" w:cs="Arial"/>
          <w:color w:val="000000" w:themeColor="text1"/>
          <w:sz w:val="20"/>
          <w:szCs w:val="20"/>
          <w:lang w:val="en-US"/>
        </w:rPr>
        <w:t>and its subsidiaries (the Group)</w:t>
      </w:r>
      <w:r w:rsidRPr="00A47487">
        <w:rPr>
          <w:rFonts w:ascii="Arial" w:hAnsi="Arial" w:cs="Arial"/>
          <w:color w:val="000000" w:themeColor="text1"/>
          <w:sz w:val="20"/>
          <w:szCs w:val="20"/>
          <w:lang w:val="en-US"/>
        </w:rPr>
        <w:t xml:space="preserve"> and the </w:t>
      </w:r>
      <w:r w:rsidR="00272B60" w:rsidRPr="00A47487">
        <w:rPr>
          <w:rFonts w:ascii="Arial" w:hAnsi="Arial" w:cs="Browallia New"/>
          <w:color w:val="000000" w:themeColor="text1"/>
          <w:sz w:val="20"/>
          <w:szCs w:val="20"/>
        </w:rPr>
        <w:t xml:space="preserve">separate financial position of the </w:t>
      </w:r>
      <w:r w:rsidRPr="00A47487">
        <w:rPr>
          <w:rFonts w:ascii="Arial" w:hAnsi="Arial" w:cs="Arial"/>
          <w:color w:val="000000" w:themeColor="text1"/>
          <w:sz w:val="20"/>
          <w:szCs w:val="20"/>
          <w:lang w:val="en-US"/>
        </w:rPr>
        <w:t xml:space="preserve">Company </w:t>
      </w:r>
      <w:r w:rsidRPr="00A47487">
        <w:rPr>
          <w:rFonts w:ascii="Arial" w:hAnsi="Arial" w:cs="Arial"/>
          <w:color w:val="000000" w:themeColor="text1"/>
          <w:sz w:val="20"/>
          <w:szCs w:val="20"/>
        </w:rPr>
        <w:t>as at</w:t>
      </w:r>
      <w:r w:rsidR="00D55385" w:rsidRPr="00A47487">
        <w:rPr>
          <w:rFonts w:ascii="Arial" w:hAnsi="Arial" w:cs="Arial"/>
          <w:color w:val="000000" w:themeColor="text1"/>
          <w:sz w:val="20"/>
          <w:szCs w:val="20"/>
        </w:rPr>
        <w:t xml:space="preserve"> 31 December 202</w:t>
      </w:r>
      <w:r w:rsidR="003F6DC6">
        <w:rPr>
          <w:rFonts w:ascii="Arial" w:hAnsi="Arial" w:cs="Arial"/>
          <w:color w:val="000000" w:themeColor="text1"/>
          <w:sz w:val="20"/>
          <w:szCs w:val="20"/>
        </w:rPr>
        <w:t>1</w:t>
      </w:r>
      <w:r w:rsidRPr="00A47487">
        <w:rPr>
          <w:rFonts w:ascii="Arial" w:hAnsi="Arial" w:cs="Arial"/>
          <w:color w:val="000000" w:themeColor="text1"/>
          <w:sz w:val="20"/>
          <w:szCs w:val="20"/>
          <w:lang w:val="en-US"/>
        </w:rPr>
        <w:t>,</w:t>
      </w:r>
      <w:r w:rsidRPr="00A47487">
        <w:rPr>
          <w:rFonts w:ascii="Arial" w:hAnsi="Arial" w:cs="Arial"/>
          <w:color w:val="000000" w:themeColor="text1"/>
          <w:sz w:val="20"/>
          <w:szCs w:val="20"/>
        </w:rPr>
        <w:t xml:space="preserve"> and its consolidated and separate financial performance and its consolidated and separate cash flows for the year then ended in accordance with Thai Financial Reporting Standards (TFRS). </w:t>
      </w:r>
    </w:p>
    <w:p w14:paraId="783D5688" w14:textId="77777777" w:rsidR="009D6C4B" w:rsidRPr="002757B2" w:rsidRDefault="009D6C4B" w:rsidP="00F67AF3">
      <w:pPr>
        <w:pStyle w:val="Default"/>
        <w:jc w:val="thaiDistribute"/>
        <w:rPr>
          <w:b/>
          <w:bCs/>
          <w:color w:val="000000" w:themeColor="text1"/>
          <w:sz w:val="20"/>
          <w:szCs w:val="20"/>
        </w:rPr>
      </w:pPr>
    </w:p>
    <w:p w14:paraId="642D9711" w14:textId="77777777" w:rsidR="009D6C4B" w:rsidRPr="002757B2" w:rsidRDefault="009D6C4B" w:rsidP="00F67AF3">
      <w:pPr>
        <w:pStyle w:val="Default"/>
        <w:jc w:val="thaiDistribute"/>
        <w:rPr>
          <w:rFonts w:eastAsia="Calibri"/>
          <w:b/>
          <w:bCs/>
          <w:color w:val="CF4A02"/>
          <w:sz w:val="20"/>
          <w:szCs w:val="20"/>
        </w:rPr>
      </w:pPr>
      <w:r w:rsidRPr="002757B2">
        <w:rPr>
          <w:rFonts w:eastAsia="Calibri"/>
          <w:b/>
          <w:bCs/>
          <w:color w:val="CF4A02"/>
          <w:sz w:val="20"/>
          <w:szCs w:val="20"/>
        </w:rPr>
        <w:t>What I have audited</w:t>
      </w:r>
    </w:p>
    <w:p w14:paraId="44094429" w14:textId="77777777" w:rsidR="00E3702E" w:rsidRPr="002757B2" w:rsidRDefault="00E3702E" w:rsidP="00F67AF3">
      <w:pPr>
        <w:pStyle w:val="Default"/>
        <w:jc w:val="thaiDistribute"/>
        <w:rPr>
          <w:rFonts w:eastAsia="Calibri"/>
          <w:b/>
          <w:bCs/>
          <w:color w:val="000000" w:themeColor="text1"/>
          <w:sz w:val="20"/>
          <w:szCs w:val="20"/>
        </w:rPr>
      </w:pPr>
    </w:p>
    <w:p w14:paraId="3288C2B2" w14:textId="77777777" w:rsidR="00D7661B" w:rsidRPr="002757B2" w:rsidRDefault="00D7661B" w:rsidP="008B018B">
      <w:pPr>
        <w:pStyle w:val="Default"/>
        <w:jc w:val="thaiDistribute"/>
        <w:rPr>
          <w:color w:val="000000" w:themeColor="text1"/>
          <w:sz w:val="20"/>
          <w:szCs w:val="20"/>
        </w:rPr>
      </w:pPr>
      <w:r w:rsidRPr="002757B2">
        <w:rPr>
          <w:color w:val="000000" w:themeColor="text1"/>
          <w:sz w:val="20"/>
          <w:szCs w:val="20"/>
        </w:rPr>
        <w:t xml:space="preserve">The consolidated </w:t>
      </w:r>
      <w:r w:rsidR="001F0191" w:rsidRPr="002757B2">
        <w:rPr>
          <w:color w:val="000000" w:themeColor="text1"/>
          <w:sz w:val="20"/>
          <w:szCs w:val="20"/>
        </w:rPr>
        <w:t xml:space="preserve">financial statements and </w:t>
      </w:r>
      <w:r w:rsidR="00E304A2" w:rsidRPr="002757B2">
        <w:rPr>
          <w:rFonts w:cs="Browallia New"/>
          <w:color w:val="000000" w:themeColor="text1"/>
          <w:sz w:val="20"/>
          <w:szCs w:val="20"/>
        </w:rPr>
        <w:t xml:space="preserve">the </w:t>
      </w:r>
      <w:r w:rsidRPr="002757B2">
        <w:rPr>
          <w:color w:val="000000" w:themeColor="text1"/>
          <w:sz w:val="20"/>
          <w:szCs w:val="20"/>
        </w:rPr>
        <w:t>separate financial statements comprise:</w:t>
      </w:r>
    </w:p>
    <w:p w14:paraId="43A1EC6C" w14:textId="3798E570" w:rsidR="00D7661B" w:rsidRPr="002757B2" w:rsidRDefault="00D7661B" w:rsidP="00BA46DF">
      <w:pPr>
        <w:pStyle w:val="Default"/>
        <w:numPr>
          <w:ilvl w:val="0"/>
          <w:numId w:val="5"/>
        </w:numPr>
        <w:jc w:val="thaiDistribute"/>
        <w:rPr>
          <w:color w:val="000000" w:themeColor="text1"/>
          <w:sz w:val="20"/>
          <w:szCs w:val="20"/>
        </w:rPr>
      </w:pPr>
      <w:r w:rsidRPr="002757B2">
        <w:rPr>
          <w:color w:val="000000" w:themeColor="text1"/>
          <w:sz w:val="20"/>
          <w:szCs w:val="20"/>
        </w:rPr>
        <w:t xml:space="preserve">the consolidated and separate statements of financial position as </w:t>
      </w:r>
      <w:proofErr w:type="gramStart"/>
      <w:r w:rsidRPr="002757B2">
        <w:rPr>
          <w:color w:val="000000" w:themeColor="text1"/>
          <w:sz w:val="20"/>
          <w:szCs w:val="20"/>
        </w:rPr>
        <w:t>at</w:t>
      </w:r>
      <w:proofErr w:type="gramEnd"/>
      <w:r w:rsidR="00D957E4">
        <w:rPr>
          <w:color w:val="000000" w:themeColor="text1"/>
          <w:sz w:val="20"/>
          <w:szCs w:val="20"/>
        </w:rPr>
        <w:t xml:space="preserve"> </w:t>
      </w:r>
      <w:r w:rsidR="00D957E4">
        <w:rPr>
          <w:rFonts w:cstheme="minorBidi"/>
          <w:color w:val="000000" w:themeColor="text1"/>
          <w:sz w:val="20"/>
          <w:szCs w:val="20"/>
        </w:rPr>
        <w:t>31 December 202</w:t>
      </w:r>
      <w:r w:rsidR="003F6DC6">
        <w:rPr>
          <w:rFonts w:cstheme="minorBidi"/>
          <w:color w:val="000000" w:themeColor="text1"/>
          <w:sz w:val="20"/>
          <w:szCs w:val="20"/>
        </w:rPr>
        <w:t>1</w:t>
      </w:r>
      <w:r w:rsidR="001914F3" w:rsidRPr="002757B2">
        <w:rPr>
          <w:i/>
          <w:iCs/>
          <w:color w:val="000000" w:themeColor="text1"/>
          <w:sz w:val="20"/>
          <w:szCs w:val="20"/>
          <w:lang w:val="en-US"/>
        </w:rPr>
        <w:t>;</w:t>
      </w:r>
    </w:p>
    <w:p w14:paraId="35F7C932" w14:textId="77777777" w:rsidR="00D7661B" w:rsidRPr="002757B2" w:rsidRDefault="00D7661B" w:rsidP="00BA46DF">
      <w:pPr>
        <w:pStyle w:val="Default"/>
        <w:numPr>
          <w:ilvl w:val="0"/>
          <w:numId w:val="5"/>
        </w:numPr>
        <w:jc w:val="thaiDistribute"/>
        <w:rPr>
          <w:color w:val="000000" w:themeColor="text1"/>
          <w:sz w:val="20"/>
          <w:szCs w:val="20"/>
        </w:rPr>
      </w:pPr>
      <w:r w:rsidRPr="002757B2">
        <w:rPr>
          <w:color w:val="000000" w:themeColor="text1"/>
          <w:sz w:val="20"/>
          <w:szCs w:val="20"/>
        </w:rPr>
        <w:t>the consolidated and separate statements of comprehensive income</w:t>
      </w:r>
      <w:r w:rsidR="001914F3" w:rsidRPr="002757B2">
        <w:rPr>
          <w:color w:val="000000" w:themeColor="text1"/>
          <w:sz w:val="20"/>
          <w:szCs w:val="20"/>
        </w:rPr>
        <w:t xml:space="preserve"> for the year then </w:t>
      </w:r>
      <w:proofErr w:type="gramStart"/>
      <w:r w:rsidR="001914F3" w:rsidRPr="002757B2">
        <w:rPr>
          <w:color w:val="000000" w:themeColor="text1"/>
          <w:sz w:val="20"/>
          <w:szCs w:val="20"/>
        </w:rPr>
        <w:t>ended;</w:t>
      </w:r>
      <w:proofErr w:type="gramEnd"/>
    </w:p>
    <w:p w14:paraId="7DEE5475" w14:textId="77777777" w:rsidR="00D7661B" w:rsidRPr="002757B2" w:rsidRDefault="00D7661B" w:rsidP="00BA46DF">
      <w:pPr>
        <w:pStyle w:val="Default"/>
        <w:numPr>
          <w:ilvl w:val="0"/>
          <w:numId w:val="5"/>
        </w:numPr>
        <w:jc w:val="thaiDistribute"/>
        <w:rPr>
          <w:color w:val="000000" w:themeColor="text1"/>
          <w:sz w:val="20"/>
          <w:szCs w:val="20"/>
        </w:rPr>
      </w:pPr>
      <w:r w:rsidRPr="002757B2">
        <w:rPr>
          <w:color w:val="000000" w:themeColor="text1"/>
          <w:sz w:val="20"/>
          <w:szCs w:val="20"/>
        </w:rPr>
        <w:t xml:space="preserve">the consolidated and separate </w:t>
      </w:r>
      <w:r w:rsidR="008D35FC" w:rsidRPr="002757B2">
        <w:rPr>
          <w:color w:val="000000" w:themeColor="text1"/>
          <w:sz w:val="20"/>
          <w:szCs w:val="20"/>
        </w:rPr>
        <w:t xml:space="preserve">statements </w:t>
      </w:r>
      <w:r w:rsidRPr="002757B2">
        <w:rPr>
          <w:color w:val="000000" w:themeColor="text1"/>
          <w:sz w:val="20"/>
          <w:szCs w:val="20"/>
        </w:rPr>
        <w:t xml:space="preserve">of changes in equity </w:t>
      </w:r>
      <w:r w:rsidR="001914F3" w:rsidRPr="002757B2">
        <w:rPr>
          <w:color w:val="000000" w:themeColor="text1"/>
          <w:sz w:val="20"/>
          <w:szCs w:val="20"/>
        </w:rPr>
        <w:t xml:space="preserve">for the year then </w:t>
      </w:r>
      <w:proofErr w:type="gramStart"/>
      <w:r w:rsidR="001914F3" w:rsidRPr="002757B2">
        <w:rPr>
          <w:color w:val="000000" w:themeColor="text1"/>
          <w:sz w:val="20"/>
          <w:szCs w:val="20"/>
        </w:rPr>
        <w:t>ended;</w:t>
      </w:r>
      <w:proofErr w:type="gramEnd"/>
    </w:p>
    <w:p w14:paraId="3B2B0FC7" w14:textId="77777777" w:rsidR="00D7661B" w:rsidRPr="002757B2" w:rsidRDefault="00D7661B" w:rsidP="00BA46DF">
      <w:pPr>
        <w:pStyle w:val="Default"/>
        <w:numPr>
          <w:ilvl w:val="0"/>
          <w:numId w:val="5"/>
        </w:numPr>
        <w:jc w:val="thaiDistribute"/>
        <w:rPr>
          <w:color w:val="000000" w:themeColor="text1"/>
          <w:sz w:val="20"/>
          <w:szCs w:val="20"/>
        </w:rPr>
      </w:pPr>
      <w:r w:rsidRPr="002757B2">
        <w:rPr>
          <w:color w:val="000000" w:themeColor="text1"/>
          <w:sz w:val="20"/>
          <w:szCs w:val="20"/>
        </w:rPr>
        <w:t>the consolidated and separate statement</w:t>
      </w:r>
      <w:r w:rsidR="008D35FC" w:rsidRPr="002757B2">
        <w:rPr>
          <w:color w:val="000000" w:themeColor="text1"/>
          <w:sz w:val="20"/>
          <w:szCs w:val="20"/>
        </w:rPr>
        <w:t>s</w:t>
      </w:r>
      <w:r w:rsidRPr="002757B2">
        <w:rPr>
          <w:color w:val="000000" w:themeColor="text1"/>
          <w:sz w:val="20"/>
          <w:szCs w:val="20"/>
        </w:rPr>
        <w:t xml:space="preserve"> of cash flows</w:t>
      </w:r>
      <w:r w:rsidR="001914F3" w:rsidRPr="002757B2">
        <w:rPr>
          <w:color w:val="000000" w:themeColor="text1"/>
          <w:sz w:val="20"/>
          <w:szCs w:val="20"/>
        </w:rPr>
        <w:t xml:space="preserve"> for the year then end</w:t>
      </w:r>
      <w:r w:rsidR="00EF26F0" w:rsidRPr="002757B2">
        <w:rPr>
          <w:color w:val="000000" w:themeColor="text1"/>
          <w:sz w:val="20"/>
          <w:szCs w:val="20"/>
        </w:rPr>
        <w:t>ed</w:t>
      </w:r>
      <w:r w:rsidR="001914F3" w:rsidRPr="002757B2">
        <w:rPr>
          <w:color w:val="000000" w:themeColor="text1"/>
          <w:sz w:val="20"/>
          <w:szCs w:val="20"/>
        </w:rPr>
        <w:t>;</w:t>
      </w:r>
      <w:r w:rsidR="00E23C59" w:rsidRPr="002757B2">
        <w:rPr>
          <w:color w:val="000000" w:themeColor="text1"/>
          <w:sz w:val="20"/>
          <w:szCs w:val="20"/>
        </w:rPr>
        <w:t xml:space="preserve"> and</w:t>
      </w:r>
    </w:p>
    <w:p w14:paraId="7E09281F" w14:textId="77777777" w:rsidR="00D7661B" w:rsidRPr="002757B2" w:rsidRDefault="00D7661B" w:rsidP="00D7661B">
      <w:pPr>
        <w:pStyle w:val="Default"/>
        <w:numPr>
          <w:ilvl w:val="0"/>
          <w:numId w:val="5"/>
        </w:numPr>
        <w:jc w:val="thaiDistribute"/>
        <w:rPr>
          <w:color w:val="000000" w:themeColor="text1"/>
          <w:sz w:val="20"/>
          <w:szCs w:val="20"/>
        </w:rPr>
      </w:pPr>
      <w:r w:rsidRPr="002757B2">
        <w:rPr>
          <w:color w:val="000000" w:themeColor="text1"/>
          <w:spacing w:val="-4"/>
          <w:sz w:val="20"/>
          <w:szCs w:val="20"/>
        </w:rPr>
        <w:t>the</w:t>
      </w:r>
      <w:r w:rsidR="008D35FC" w:rsidRPr="002757B2">
        <w:rPr>
          <w:color w:val="000000" w:themeColor="text1"/>
          <w:spacing w:val="-4"/>
          <w:sz w:val="20"/>
          <w:szCs w:val="20"/>
        </w:rPr>
        <w:t xml:space="preserve"> </w:t>
      </w:r>
      <w:r w:rsidRPr="002757B2">
        <w:rPr>
          <w:color w:val="000000" w:themeColor="text1"/>
          <w:spacing w:val="-4"/>
          <w:sz w:val="20"/>
          <w:szCs w:val="20"/>
        </w:rPr>
        <w:t>notes to the consolidated and separate financial statements</w:t>
      </w:r>
      <w:r w:rsidR="008D35FC" w:rsidRPr="002757B2">
        <w:rPr>
          <w:color w:val="000000" w:themeColor="text1"/>
          <w:spacing w:val="-4"/>
          <w:sz w:val="20"/>
          <w:szCs w:val="20"/>
        </w:rPr>
        <w:t>,</w:t>
      </w:r>
      <w:r w:rsidRPr="002757B2">
        <w:rPr>
          <w:color w:val="000000" w:themeColor="text1"/>
          <w:spacing w:val="-4"/>
          <w:sz w:val="20"/>
          <w:szCs w:val="20"/>
        </w:rPr>
        <w:t xml:space="preserve"> which include significant</w:t>
      </w:r>
      <w:r w:rsidRPr="002757B2">
        <w:rPr>
          <w:color w:val="000000" w:themeColor="text1"/>
          <w:sz w:val="20"/>
          <w:szCs w:val="20"/>
        </w:rPr>
        <w:t xml:space="preserve"> accounting policies</w:t>
      </w:r>
      <w:r w:rsidR="00272B60" w:rsidRPr="002757B2">
        <w:rPr>
          <w:color w:val="000000" w:themeColor="text1"/>
          <w:sz w:val="20"/>
          <w:szCs w:val="20"/>
        </w:rPr>
        <w:t xml:space="preserve"> and other explanatory information</w:t>
      </w:r>
      <w:r w:rsidRPr="002757B2">
        <w:rPr>
          <w:color w:val="000000" w:themeColor="text1"/>
          <w:sz w:val="20"/>
          <w:szCs w:val="20"/>
        </w:rPr>
        <w:t xml:space="preserve">. </w:t>
      </w:r>
    </w:p>
    <w:p w14:paraId="40551D81" w14:textId="77777777" w:rsidR="001F0191" w:rsidRPr="002757B2" w:rsidRDefault="001F0191" w:rsidP="001F0191">
      <w:pPr>
        <w:pStyle w:val="Default"/>
        <w:ind w:left="720"/>
        <w:jc w:val="thaiDistribute"/>
        <w:rPr>
          <w:color w:val="000000" w:themeColor="text1"/>
          <w:sz w:val="20"/>
          <w:szCs w:val="20"/>
        </w:rPr>
      </w:pPr>
    </w:p>
    <w:p w14:paraId="1C59BB9A" w14:textId="77777777" w:rsidR="00790517" w:rsidRPr="002757B2" w:rsidRDefault="00790517" w:rsidP="00F67AF3">
      <w:pPr>
        <w:pStyle w:val="Default"/>
        <w:jc w:val="thaiDistribute"/>
        <w:rPr>
          <w:rFonts w:eastAsia="Calibri"/>
          <w:b/>
          <w:bCs/>
          <w:color w:val="CF4A02"/>
          <w:sz w:val="20"/>
          <w:szCs w:val="20"/>
        </w:rPr>
      </w:pPr>
      <w:r w:rsidRPr="002757B2">
        <w:rPr>
          <w:rFonts w:eastAsia="Calibri"/>
          <w:b/>
          <w:bCs/>
          <w:color w:val="CF4A02"/>
          <w:sz w:val="20"/>
          <w:szCs w:val="20"/>
        </w:rPr>
        <w:t xml:space="preserve">Basis for </w:t>
      </w:r>
      <w:r w:rsidR="00E07F94" w:rsidRPr="002757B2">
        <w:rPr>
          <w:rFonts w:eastAsia="Calibri"/>
          <w:b/>
          <w:bCs/>
          <w:color w:val="CF4A02"/>
          <w:sz w:val="20"/>
          <w:szCs w:val="20"/>
        </w:rPr>
        <w:t>o</w:t>
      </w:r>
      <w:r w:rsidRPr="002757B2">
        <w:rPr>
          <w:rFonts w:eastAsia="Calibri"/>
          <w:b/>
          <w:bCs/>
          <w:color w:val="CF4A02"/>
          <w:sz w:val="20"/>
          <w:szCs w:val="20"/>
        </w:rPr>
        <w:t xml:space="preserve">pinion </w:t>
      </w:r>
    </w:p>
    <w:p w14:paraId="397EBF57" w14:textId="77777777" w:rsidR="00E3702E" w:rsidRPr="002757B2" w:rsidRDefault="00E3702E" w:rsidP="00F67AF3">
      <w:pPr>
        <w:pStyle w:val="Default"/>
        <w:jc w:val="thaiDistribute"/>
        <w:rPr>
          <w:rFonts w:eastAsia="Calibri"/>
          <w:b/>
          <w:bCs/>
          <w:color w:val="000000" w:themeColor="text1"/>
          <w:sz w:val="20"/>
          <w:szCs w:val="20"/>
        </w:rPr>
      </w:pPr>
    </w:p>
    <w:p w14:paraId="4E7F2F84" w14:textId="77777777" w:rsidR="00684C98" w:rsidRPr="002757B2" w:rsidRDefault="00684C98" w:rsidP="008B018B">
      <w:pPr>
        <w:pStyle w:val="Default"/>
        <w:jc w:val="thaiDistribute"/>
        <w:rPr>
          <w:rFonts w:cstheme="minorBidi"/>
          <w:color w:val="000000" w:themeColor="text1"/>
          <w:sz w:val="20"/>
          <w:szCs w:val="20"/>
        </w:rPr>
      </w:pPr>
      <w:r w:rsidRPr="002757B2">
        <w:rPr>
          <w:color w:val="000000" w:themeColor="text1"/>
          <w:sz w:val="20"/>
          <w:szCs w:val="20"/>
        </w:rPr>
        <w:t xml:space="preserve">I conducted my audit in accordance with Thai Standards on Auditing (TSAs). My responsibilities under those standards are further described in the Auditor’s </w:t>
      </w:r>
      <w:r w:rsidR="00433A38" w:rsidRPr="002757B2">
        <w:rPr>
          <w:color w:val="000000" w:themeColor="text1"/>
          <w:sz w:val="20"/>
          <w:szCs w:val="20"/>
        </w:rPr>
        <w:t>r</w:t>
      </w:r>
      <w:r w:rsidRPr="002757B2">
        <w:rPr>
          <w:color w:val="000000" w:themeColor="text1"/>
          <w:sz w:val="20"/>
          <w:szCs w:val="20"/>
        </w:rPr>
        <w:t xml:space="preserve">esponsibilities for the </w:t>
      </w:r>
      <w:r w:rsidR="009D6C4B" w:rsidRPr="002757B2">
        <w:rPr>
          <w:color w:val="000000" w:themeColor="text1"/>
          <w:sz w:val="20"/>
          <w:szCs w:val="20"/>
        </w:rPr>
        <w:t>a</w:t>
      </w:r>
      <w:r w:rsidRPr="002757B2">
        <w:rPr>
          <w:color w:val="000000" w:themeColor="text1"/>
          <w:sz w:val="20"/>
          <w:szCs w:val="20"/>
        </w:rPr>
        <w:t>udit of the</w:t>
      </w:r>
      <w:r w:rsidR="005237A1" w:rsidRPr="002757B2">
        <w:rPr>
          <w:color w:val="000000" w:themeColor="text1"/>
          <w:sz w:val="20"/>
          <w:szCs w:val="20"/>
        </w:rPr>
        <w:t xml:space="preserve"> </w:t>
      </w:r>
      <w:r w:rsidR="009D6C4B" w:rsidRPr="002757B2">
        <w:rPr>
          <w:color w:val="000000" w:themeColor="text1"/>
          <w:sz w:val="20"/>
          <w:szCs w:val="20"/>
        </w:rPr>
        <w:t>c</w:t>
      </w:r>
      <w:r w:rsidR="005237A1" w:rsidRPr="002757B2">
        <w:rPr>
          <w:color w:val="000000" w:themeColor="text1"/>
          <w:sz w:val="20"/>
          <w:szCs w:val="20"/>
        </w:rPr>
        <w:t xml:space="preserve">onsolidated and </w:t>
      </w:r>
      <w:r w:rsidR="009D6C4B" w:rsidRPr="002757B2">
        <w:rPr>
          <w:color w:val="000000" w:themeColor="text1"/>
          <w:sz w:val="20"/>
          <w:szCs w:val="20"/>
        </w:rPr>
        <w:t>separate f</w:t>
      </w:r>
      <w:r w:rsidRPr="002757B2">
        <w:rPr>
          <w:color w:val="000000" w:themeColor="text1"/>
          <w:sz w:val="20"/>
          <w:szCs w:val="20"/>
        </w:rPr>
        <w:t xml:space="preserve">inancial </w:t>
      </w:r>
      <w:r w:rsidR="009D6C4B" w:rsidRPr="002757B2">
        <w:rPr>
          <w:color w:val="000000" w:themeColor="text1"/>
          <w:sz w:val="20"/>
          <w:szCs w:val="20"/>
        </w:rPr>
        <w:t>s</w:t>
      </w:r>
      <w:r w:rsidRPr="002757B2">
        <w:rPr>
          <w:color w:val="000000" w:themeColor="text1"/>
          <w:sz w:val="20"/>
          <w:szCs w:val="20"/>
        </w:rPr>
        <w:t xml:space="preserve">tatements section of my report. I am independent of the </w:t>
      </w:r>
      <w:r w:rsidR="005237A1" w:rsidRPr="002757B2">
        <w:rPr>
          <w:color w:val="000000" w:themeColor="text1"/>
          <w:sz w:val="20"/>
          <w:szCs w:val="20"/>
        </w:rPr>
        <w:t>Group</w:t>
      </w:r>
      <w:r w:rsidR="00AC1524" w:rsidRPr="002757B2">
        <w:rPr>
          <w:color w:val="000000" w:themeColor="text1"/>
          <w:sz w:val="20"/>
          <w:szCs w:val="20"/>
        </w:rPr>
        <w:t xml:space="preserve"> and </w:t>
      </w:r>
      <w:r w:rsidR="007A3ACC" w:rsidRPr="002757B2">
        <w:rPr>
          <w:color w:val="000000" w:themeColor="text1"/>
          <w:sz w:val="20"/>
          <w:szCs w:val="20"/>
        </w:rPr>
        <w:t xml:space="preserve">the </w:t>
      </w:r>
      <w:r w:rsidR="00AC1524" w:rsidRPr="002757B2">
        <w:rPr>
          <w:color w:val="000000" w:themeColor="text1"/>
          <w:sz w:val="20"/>
          <w:szCs w:val="20"/>
        </w:rPr>
        <w:t>Company</w:t>
      </w:r>
      <w:r w:rsidRPr="002757B2">
        <w:rPr>
          <w:color w:val="000000" w:themeColor="text1"/>
          <w:sz w:val="20"/>
          <w:szCs w:val="20"/>
        </w:rPr>
        <w:t xml:space="preserve"> in accordance with the Code of Ethics for Professional Accountants</w:t>
      </w:r>
      <w:r w:rsidR="00272B60" w:rsidRPr="002757B2">
        <w:rPr>
          <w:color w:val="000000" w:themeColor="text1"/>
          <w:sz w:val="20"/>
          <w:szCs w:val="20"/>
        </w:rPr>
        <w:t xml:space="preserve"> issued by the</w:t>
      </w:r>
      <w:r w:rsidRPr="002757B2">
        <w:rPr>
          <w:color w:val="000000" w:themeColor="text1"/>
          <w:sz w:val="20"/>
          <w:szCs w:val="20"/>
        </w:rPr>
        <w:t xml:space="preserve"> </w:t>
      </w:r>
      <w:r w:rsidR="00272B60" w:rsidRPr="002757B2">
        <w:rPr>
          <w:color w:val="000000" w:themeColor="text1"/>
          <w:sz w:val="20"/>
          <w:szCs w:val="20"/>
        </w:rPr>
        <w:t xml:space="preserve">Federation of Accounting Professions </w:t>
      </w:r>
      <w:r w:rsidRPr="002757B2">
        <w:rPr>
          <w:color w:val="000000" w:themeColor="text1"/>
          <w:sz w:val="20"/>
          <w:szCs w:val="20"/>
        </w:rPr>
        <w:t xml:space="preserve">that are relevant to my audit of the </w:t>
      </w:r>
      <w:r w:rsidR="006E2ABA" w:rsidRPr="002757B2">
        <w:rPr>
          <w:color w:val="000000" w:themeColor="text1"/>
          <w:sz w:val="20"/>
          <w:szCs w:val="20"/>
        </w:rPr>
        <w:t xml:space="preserve">consolidated and separate </w:t>
      </w:r>
      <w:r w:rsidRPr="002757B2">
        <w:rPr>
          <w:color w:val="000000" w:themeColor="text1"/>
          <w:sz w:val="20"/>
          <w:szCs w:val="20"/>
        </w:rPr>
        <w:t xml:space="preserve">financial statements, and </w:t>
      </w:r>
      <w:r w:rsidR="00A92691">
        <w:rPr>
          <w:color w:val="000000" w:themeColor="text1"/>
          <w:sz w:val="20"/>
          <w:szCs w:val="20"/>
        </w:rPr>
        <w:br/>
      </w:r>
      <w:r w:rsidRPr="002757B2">
        <w:rPr>
          <w:color w:val="000000" w:themeColor="text1"/>
          <w:sz w:val="20"/>
          <w:szCs w:val="20"/>
        </w:rPr>
        <w:t xml:space="preserve">I have fulfilled my other ethical responsibilities in accordance with these requirements. I believe that the audit evidence I have obtained is sufficient and appropriate to provide a basis for my opinion. </w:t>
      </w:r>
    </w:p>
    <w:p w14:paraId="004EBCAA" w14:textId="77777777" w:rsidR="008A4E40" w:rsidRPr="002757B2" w:rsidRDefault="008A4E40" w:rsidP="008B018B">
      <w:pPr>
        <w:pStyle w:val="Default"/>
        <w:jc w:val="thaiDistribute"/>
        <w:rPr>
          <w:rFonts w:cstheme="minorBidi"/>
          <w:color w:val="000000" w:themeColor="text1"/>
          <w:sz w:val="20"/>
          <w:szCs w:val="20"/>
        </w:rPr>
      </w:pPr>
    </w:p>
    <w:p w14:paraId="67A873D6" w14:textId="77777777" w:rsidR="008A4E40" w:rsidRPr="002757B2" w:rsidRDefault="008A4E40" w:rsidP="00F67AF3">
      <w:pPr>
        <w:pStyle w:val="Default"/>
        <w:jc w:val="thaiDistribute"/>
        <w:rPr>
          <w:rFonts w:cs="Angsana New"/>
          <w:b/>
          <w:bCs/>
          <w:color w:val="000000" w:themeColor="text1"/>
          <w:sz w:val="20"/>
          <w:szCs w:val="20"/>
          <w:cs/>
        </w:rPr>
        <w:sectPr w:rsidR="008A4E40" w:rsidRPr="002757B2" w:rsidSect="00A47487">
          <w:pgSz w:w="11909" w:h="16834" w:code="9"/>
          <w:pgMar w:top="3139" w:right="720" w:bottom="1584" w:left="1987" w:header="706" w:footer="706" w:gutter="0"/>
          <w:cols w:space="708"/>
          <w:docGrid w:linePitch="360"/>
        </w:sectPr>
      </w:pPr>
    </w:p>
    <w:p w14:paraId="4470CDC8" w14:textId="77777777" w:rsidR="00240078" w:rsidRPr="002757B2" w:rsidRDefault="00240078" w:rsidP="00240078">
      <w:pPr>
        <w:pStyle w:val="Default"/>
        <w:jc w:val="thaiDistribute"/>
        <w:rPr>
          <w:rFonts w:eastAsia="Calibri"/>
          <w:b/>
          <w:bCs/>
          <w:color w:val="CF4A02"/>
          <w:sz w:val="20"/>
          <w:szCs w:val="20"/>
        </w:rPr>
      </w:pPr>
      <w:r w:rsidRPr="002757B2">
        <w:rPr>
          <w:rFonts w:eastAsia="Calibri"/>
          <w:b/>
          <w:bCs/>
          <w:color w:val="CF4A02"/>
          <w:sz w:val="20"/>
          <w:szCs w:val="20"/>
        </w:rPr>
        <w:lastRenderedPageBreak/>
        <w:t>Key audit matters</w:t>
      </w:r>
    </w:p>
    <w:p w14:paraId="36934F3E" w14:textId="77777777" w:rsidR="00240078" w:rsidRPr="002757B2" w:rsidRDefault="00240078" w:rsidP="00240078">
      <w:pPr>
        <w:pStyle w:val="Default"/>
        <w:jc w:val="thaiDistribute"/>
        <w:rPr>
          <w:rFonts w:eastAsia="Calibri"/>
          <w:b/>
          <w:bCs/>
          <w:color w:val="000000" w:themeColor="text1"/>
          <w:sz w:val="20"/>
          <w:szCs w:val="20"/>
        </w:rPr>
      </w:pPr>
    </w:p>
    <w:p w14:paraId="4C53D258" w14:textId="77777777" w:rsidR="00240078" w:rsidRPr="002757B2" w:rsidRDefault="00240078" w:rsidP="00240078">
      <w:pPr>
        <w:pStyle w:val="Default"/>
        <w:jc w:val="thaiDistribute"/>
        <w:rPr>
          <w:color w:val="000000" w:themeColor="text1"/>
          <w:sz w:val="20"/>
          <w:szCs w:val="20"/>
        </w:rPr>
      </w:pPr>
      <w:r w:rsidRPr="002757B2">
        <w:rPr>
          <w:color w:val="000000" w:themeColor="text1"/>
          <w:sz w:val="20"/>
          <w:szCs w:val="20"/>
        </w:rPr>
        <w:t>Key audit matters are those matters that, in my professional judg</w:t>
      </w:r>
      <w:r w:rsidR="002E62F0" w:rsidRPr="002757B2">
        <w:rPr>
          <w:color w:val="000000" w:themeColor="text1"/>
          <w:sz w:val="20"/>
          <w:szCs w:val="20"/>
        </w:rPr>
        <w:t>e</w:t>
      </w:r>
      <w:r w:rsidRPr="002757B2">
        <w:rPr>
          <w:color w:val="000000" w:themeColor="text1"/>
          <w:sz w:val="20"/>
          <w:szCs w:val="20"/>
        </w:rPr>
        <w:t>ment, were of most significance in my audit of the consolidated and separate financial statements of the current period.</w:t>
      </w:r>
      <w:r w:rsidR="008658BE">
        <w:rPr>
          <w:color w:val="000000" w:themeColor="text1"/>
          <w:sz w:val="20"/>
          <w:szCs w:val="20"/>
        </w:rPr>
        <w:t xml:space="preserve"> </w:t>
      </w:r>
      <w:r w:rsidRPr="002757B2">
        <w:rPr>
          <w:color w:val="000000" w:themeColor="text1"/>
          <w:sz w:val="20"/>
          <w:szCs w:val="20"/>
        </w:rPr>
        <w:t xml:space="preserve">These matters were addressed in the context of my audit of the consolidated and separate financial </w:t>
      </w:r>
      <w:proofErr w:type="gramStart"/>
      <w:r w:rsidRPr="002757B2">
        <w:rPr>
          <w:color w:val="000000" w:themeColor="text1"/>
          <w:sz w:val="20"/>
          <w:szCs w:val="20"/>
        </w:rPr>
        <w:t>statements as a whole, and</w:t>
      </w:r>
      <w:proofErr w:type="gramEnd"/>
      <w:r w:rsidRPr="002757B2">
        <w:rPr>
          <w:color w:val="000000" w:themeColor="text1"/>
          <w:sz w:val="20"/>
          <w:szCs w:val="20"/>
        </w:rPr>
        <w:t xml:space="preserve"> in forming my opinion thereon, and I do not provide a separate opinion on these matters. </w:t>
      </w:r>
    </w:p>
    <w:p w14:paraId="46B9451F" w14:textId="77777777" w:rsidR="00240078" w:rsidRPr="002757B2" w:rsidRDefault="00240078" w:rsidP="00240078">
      <w:pPr>
        <w:pStyle w:val="Default"/>
        <w:jc w:val="thaiDistribute"/>
        <w:rPr>
          <w:color w:val="000000" w:themeColor="text1"/>
          <w:sz w:val="20"/>
          <w:szCs w:val="20"/>
        </w:rPr>
      </w:pPr>
    </w:p>
    <w:tbl>
      <w:tblPr>
        <w:tblStyle w:val="TableGrid"/>
        <w:tblW w:w="9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4680"/>
      </w:tblGrid>
      <w:tr w:rsidR="006E3CD2" w:rsidRPr="00A47487" w14:paraId="42752EE7" w14:textId="77777777" w:rsidTr="00C711B0">
        <w:trPr>
          <w:trHeight w:val="346"/>
          <w:tblHeader/>
        </w:trPr>
        <w:tc>
          <w:tcPr>
            <w:tcW w:w="4536" w:type="dxa"/>
            <w:shd w:val="clear" w:color="auto" w:fill="FFA543"/>
            <w:vAlign w:val="center"/>
          </w:tcPr>
          <w:p w14:paraId="4C9D9738" w14:textId="77777777" w:rsidR="00240078" w:rsidRPr="00A47487" w:rsidRDefault="00240078" w:rsidP="00D76813">
            <w:pPr>
              <w:pStyle w:val="Default"/>
              <w:ind w:right="244"/>
              <w:jc w:val="center"/>
              <w:rPr>
                <w:b/>
                <w:bCs/>
                <w:color w:val="FFFFFF" w:themeColor="background1"/>
                <w:sz w:val="20"/>
                <w:szCs w:val="20"/>
              </w:rPr>
            </w:pPr>
            <w:r w:rsidRPr="00A47487">
              <w:rPr>
                <w:b/>
                <w:bCs/>
                <w:color w:val="FFFFFF" w:themeColor="background1"/>
                <w:sz w:val="20"/>
                <w:szCs w:val="20"/>
              </w:rPr>
              <w:t>Key audit matter</w:t>
            </w:r>
          </w:p>
        </w:tc>
        <w:tc>
          <w:tcPr>
            <w:tcW w:w="4680" w:type="dxa"/>
            <w:shd w:val="clear" w:color="auto" w:fill="FFA543"/>
            <w:vAlign w:val="center"/>
          </w:tcPr>
          <w:p w14:paraId="54BF1AD5" w14:textId="77777777" w:rsidR="00240078" w:rsidRPr="00A47487" w:rsidRDefault="00240078" w:rsidP="00A24C73">
            <w:pPr>
              <w:pStyle w:val="Default"/>
              <w:jc w:val="center"/>
              <w:rPr>
                <w:b/>
                <w:bCs/>
                <w:color w:val="FFFFFF" w:themeColor="background1"/>
                <w:sz w:val="20"/>
                <w:szCs w:val="20"/>
              </w:rPr>
            </w:pPr>
            <w:r w:rsidRPr="00A47487">
              <w:rPr>
                <w:b/>
                <w:bCs/>
                <w:color w:val="FFFFFF" w:themeColor="background1"/>
                <w:sz w:val="20"/>
                <w:szCs w:val="20"/>
              </w:rPr>
              <w:t>How my audit addressed the key audit matter</w:t>
            </w:r>
          </w:p>
        </w:tc>
      </w:tr>
      <w:tr w:rsidR="00A24C73" w:rsidRPr="00A24C73" w14:paraId="35010E2F" w14:textId="77777777" w:rsidTr="00B15C07">
        <w:tc>
          <w:tcPr>
            <w:tcW w:w="4536" w:type="dxa"/>
            <w:shd w:val="clear" w:color="auto" w:fill="auto"/>
            <w:vAlign w:val="center"/>
          </w:tcPr>
          <w:p w14:paraId="2CE05731" w14:textId="77777777" w:rsidR="00A24C73" w:rsidRPr="00A24C73" w:rsidRDefault="00A24C73" w:rsidP="00D76813">
            <w:pPr>
              <w:pStyle w:val="Default"/>
              <w:ind w:right="244"/>
              <w:jc w:val="center"/>
              <w:rPr>
                <w:b/>
                <w:bCs/>
                <w:color w:val="FFFFFF" w:themeColor="background1"/>
                <w:sz w:val="12"/>
                <w:szCs w:val="12"/>
              </w:rPr>
            </w:pPr>
          </w:p>
        </w:tc>
        <w:tc>
          <w:tcPr>
            <w:tcW w:w="4680" w:type="dxa"/>
            <w:shd w:val="clear" w:color="auto" w:fill="FAFAFA"/>
            <w:vAlign w:val="center"/>
          </w:tcPr>
          <w:p w14:paraId="357DC526" w14:textId="77777777" w:rsidR="00A24C73" w:rsidRPr="00A24C73" w:rsidRDefault="00A24C73" w:rsidP="00A24C73">
            <w:pPr>
              <w:pStyle w:val="Default"/>
              <w:jc w:val="center"/>
              <w:rPr>
                <w:b/>
                <w:bCs/>
                <w:color w:val="FFFFFF" w:themeColor="background1"/>
                <w:sz w:val="12"/>
                <w:szCs w:val="12"/>
              </w:rPr>
            </w:pPr>
          </w:p>
        </w:tc>
      </w:tr>
      <w:tr w:rsidR="006E3CD2" w:rsidRPr="00A47487" w14:paraId="6D74446F" w14:textId="77777777" w:rsidTr="00B15C07">
        <w:tc>
          <w:tcPr>
            <w:tcW w:w="4536" w:type="dxa"/>
            <w:shd w:val="clear" w:color="auto" w:fill="auto"/>
          </w:tcPr>
          <w:p w14:paraId="5F0B11B7" w14:textId="77777777" w:rsidR="00CF1407" w:rsidRPr="00CF1407" w:rsidRDefault="00CF1407" w:rsidP="00487F67">
            <w:pPr>
              <w:tabs>
                <w:tab w:val="left" w:pos="2892"/>
              </w:tabs>
              <w:ind w:right="72"/>
              <w:jc w:val="thaiDistribute"/>
              <w:rPr>
                <w:rFonts w:ascii="Arial" w:hAnsi="Arial" w:cs="Arial"/>
                <w:b/>
                <w:sz w:val="12"/>
                <w:szCs w:val="12"/>
              </w:rPr>
            </w:pPr>
          </w:p>
          <w:p w14:paraId="5FECBF8E" w14:textId="497929A7" w:rsidR="00BE5305" w:rsidRPr="00A47487" w:rsidRDefault="003F6DC6" w:rsidP="00487F67">
            <w:pPr>
              <w:tabs>
                <w:tab w:val="left" w:pos="2892"/>
              </w:tabs>
              <w:ind w:right="72"/>
              <w:jc w:val="thaiDistribute"/>
              <w:rPr>
                <w:rFonts w:ascii="Arial" w:hAnsi="Arial" w:cs="Arial"/>
                <w:b/>
                <w:szCs w:val="20"/>
              </w:rPr>
            </w:pPr>
            <w:r>
              <w:rPr>
                <w:rFonts w:ascii="Arial" w:hAnsi="Arial" w:cs="Arial"/>
                <w:b/>
                <w:szCs w:val="20"/>
              </w:rPr>
              <w:t>The acquisition of investment in an associate</w:t>
            </w:r>
          </w:p>
          <w:p w14:paraId="49658D0D" w14:textId="77777777" w:rsidR="00240078" w:rsidRPr="00A24C73" w:rsidRDefault="00240078" w:rsidP="00D76813">
            <w:pPr>
              <w:pStyle w:val="Default"/>
              <w:ind w:right="244"/>
              <w:jc w:val="thaiDistribute"/>
              <w:rPr>
                <w:b/>
                <w:bCs/>
                <w:color w:val="000000" w:themeColor="text1"/>
                <w:sz w:val="12"/>
                <w:szCs w:val="12"/>
              </w:rPr>
            </w:pPr>
          </w:p>
        </w:tc>
        <w:tc>
          <w:tcPr>
            <w:tcW w:w="4680" w:type="dxa"/>
            <w:shd w:val="clear" w:color="auto" w:fill="FAFAFA"/>
          </w:tcPr>
          <w:p w14:paraId="57E0FDC5" w14:textId="77777777" w:rsidR="00240078" w:rsidRPr="00A47487" w:rsidRDefault="00240078" w:rsidP="00A24C73">
            <w:pPr>
              <w:pStyle w:val="Default"/>
              <w:jc w:val="thaiDistribute"/>
              <w:rPr>
                <w:color w:val="000000" w:themeColor="text1"/>
                <w:sz w:val="20"/>
                <w:szCs w:val="20"/>
              </w:rPr>
            </w:pPr>
          </w:p>
        </w:tc>
      </w:tr>
      <w:tr w:rsidR="00A24C73" w:rsidRPr="00A47487" w14:paraId="157CE713" w14:textId="77777777" w:rsidTr="00C711B0">
        <w:tc>
          <w:tcPr>
            <w:tcW w:w="4536" w:type="dxa"/>
            <w:shd w:val="clear" w:color="auto" w:fill="auto"/>
          </w:tcPr>
          <w:p w14:paraId="10695B8E" w14:textId="63B0B2F0" w:rsidR="00210672" w:rsidRPr="004F3ABD" w:rsidRDefault="00210672" w:rsidP="00210672">
            <w:pPr>
              <w:pStyle w:val="Default"/>
              <w:spacing w:line="259" w:lineRule="auto"/>
              <w:jc w:val="both"/>
              <w:rPr>
                <w:rFonts w:cs="Browallia New"/>
                <w:color w:val="000000" w:themeColor="text1"/>
                <w:spacing w:val="-6"/>
                <w:sz w:val="20"/>
                <w:szCs w:val="20"/>
              </w:rPr>
            </w:pPr>
            <w:r w:rsidRPr="00F7138E">
              <w:rPr>
                <w:color w:val="000000" w:themeColor="text1"/>
                <w:sz w:val="20"/>
                <w:szCs w:val="20"/>
              </w:rPr>
              <w:t>In reference to note 4</w:t>
            </w:r>
            <w:r w:rsidR="003B01B9" w:rsidRPr="00F7138E">
              <w:rPr>
                <w:color w:val="000000" w:themeColor="text1"/>
                <w:sz w:val="20"/>
                <w:szCs w:val="20"/>
              </w:rPr>
              <w:t>2</w:t>
            </w:r>
            <w:r w:rsidRPr="00F7138E">
              <w:rPr>
                <w:color w:val="000000" w:themeColor="text1"/>
                <w:sz w:val="20"/>
                <w:szCs w:val="20"/>
              </w:rPr>
              <w:t>, acquisition of investment in an associate</w:t>
            </w:r>
            <w:r w:rsidR="00117DF7" w:rsidRPr="00F7138E">
              <w:rPr>
                <w:color w:val="000000" w:themeColor="text1"/>
                <w:sz w:val="20"/>
                <w:szCs w:val="20"/>
              </w:rPr>
              <w:t xml:space="preserve"> and business combination</w:t>
            </w:r>
            <w:r w:rsidRPr="00F7138E">
              <w:rPr>
                <w:color w:val="000000" w:themeColor="text1"/>
                <w:sz w:val="20"/>
                <w:szCs w:val="20"/>
              </w:rPr>
              <w:t xml:space="preserve">, </w:t>
            </w:r>
            <w:r w:rsidRPr="00F7138E">
              <w:rPr>
                <w:rFonts w:cs="Browallia New"/>
                <w:color w:val="000000" w:themeColor="text1"/>
                <w:sz w:val="20"/>
                <w:szCs w:val="20"/>
              </w:rPr>
              <w:t xml:space="preserve">in September 2021, the Group acquired shares of PT Chandra Asri Petrochemical </w:t>
            </w:r>
            <w:proofErr w:type="spellStart"/>
            <w:r w:rsidRPr="00F7138E">
              <w:rPr>
                <w:rFonts w:cs="Browallia New"/>
                <w:color w:val="000000" w:themeColor="text1"/>
                <w:sz w:val="20"/>
                <w:szCs w:val="20"/>
              </w:rPr>
              <w:t>Tbk</w:t>
            </w:r>
            <w:proofErr w:type="spellEnd"/>
            <w:r w:rsidRPr="00F7138E">
              <w:rPr>
                <w:rFonts w:cs="Browallia New"/>
                <w:color w:val="000000" w:themeColor="text1"/>
                <w:sz w:val="20"/>
                <w:szCs w:val="20"/>
              </w:rPr>
              <w:t xml:space="preserve"> (CAP)</w:t>
            </w:r>
            <w:r w:rsidR="00A70770">
              <w:rPr>
                <w:rFonts w:cs="Browallia New"/>
                <w:color w:val="000000" w:themeColor="text1"/>
                <w:sz w:val="20"/>
                <w:szCs w:val="20"/>
              </w:rPr>
              <w:t>,</w:t>
            </w:r>
            <w:r w:rsidRPr="00F7138E">
              <w:rPr>
                <w:rFonts w:cs="Browallia New"/>
                <w:color w:val="000000" w:themeColor="text1"/>
                <w:sz w:val="20"/>
                <w:szCs w:val="20"/>
              </w:rPr>
              <w:t xml:space="preserve"> a registered company in the Republic of Indonesia operating petrochemicals. The Group has </w:t>
            </w:r>
            <w:r w:rsidR="00657C8B">
              <w:rPr>
                <w:rFonts w:cs="Browallia New"/>
                <w:color w:val="000000" w:themeColor="text1"/>
                <w:sz w:val="20"/>
                <w:szCs w:val="20"/>
              </w:rPr>
              <w:t>15%</w:t>
            </w:r>
            <w:r w:rsidRPr="00F7138E">
              <w:rPr>
                <w:rFonts w:cs="Browallia New"/>
                <w:color w:val="000000" w:themeColor="text1"/>
                <w:sz w:val="20"/>
                <w:szCs w:val="20"/>
              </w:rPr>
              <w:t xml:space="preserve"> </w:t>
            </w:r>
            <w:r w:rsidRPr="00F7138E">
              <w:rPr>
                <w:rFonts w:cs="Browallia New"/>
                <w:color w:val="000000" w:themeColor="text1"/>
                <w:spacing w:val="-4"/>
                <w:sz w:val="20"/>
                <w:szCs w:val="20"/>
              </w:rPr>
              <w:t>shareholding interest</w:t>
            </w:r>
            <w:r w:rsidR="00657C8B">
              <w:rPr>
                <w:rFonts w:cs="Browallia New"/>
                <w:color w:val="000000" w:themeColor="text1"/>
                <w:spacing w:val="-4"/>
                <w:sz w:val="20"/>
                <w:szCs w:val="20"/>
              </w:rPr>
              <w:t xml:space="preserve"> o</w:t>
            </w:r>
            <w:r w:rsidRPr="00F7138E">
              <w:rPr>
                <w:rFonts w:cs="Browallia New"/>
                <w:color w:val="000000" w:themeColor="text1"/>
                <w:spacing w:val="-4"/>
                <w:sz w:val="20"/>
                <w:szCs w:val="20"/>
              </w:rPr>
              <w:t>f the total registered</w:t>
            </w:r>
            <w:r w:rsidRPr="00F7138E">
              <w:rPr>
                <w:rFonts w:cs="Browallia New"/>
                <w:color w:val="000000" w:themeColor="text1"/>
                <w:sz w:val="20"/>
                <w:szCs w:val="20"/>
              </w:rPr>
              <w:t xml:space="preserve"> shares. The investment was classified as an </w:t>
            </w:r>
            <w:r w:rsidRPr="00911CDD">
              <w:rPr>
                <w:rFonts w:cs="Browallia New"/>
                <w:color w:val="000000" w:themeColor="text1"/>
                <w:spacing w:val="-4"/>
                <w:sz w:val="20"/>
                <w:szCs w:val="20"/>
              </w:rPr>
              <w:t>investment in an associate, based on the definition</w:t>
            </w:r>
            <w:r w:rsidRPr="00F7138E">
              <w:rPr>
                <w:rFonts w:cs="Browallia New"/>
                <w:color w:val="000000" w:themeColor="text1"/>
                <w:sz w:val="20"/>
                <w:szCs w:val="20"/>
              </w:rPr>
              <w:t xml:space="preserve"> in TAS 28 </w:t>
            </w:r>
            <w:r w:rsidR="00F7138E" w:rsidRPr="00F7138E">
              <w:rPr>
                <w:rFonts w:cs="Browallia New"/>
                <w:color w:val="000000" w:themeColor="text1"/>
                <w:sz w:val="20"/>
                <w:szCs w:val="20"/>
              </w:rPr>
              <w:t xml:space="preserve">- </w:t>
            </w:r>
            <w:r w:rsidRPr="00F7138E">
              <w:rPr>
                <w:rFonts w:cs="Browallia New"/>
                <w:color w:val="000000" w:themeColor="text1"/>
                <w:sz w:val="20"/>
                <w:szCs w:val="20"/>
              </w:rPr>
              <w:t>Investment in associates and joint ventures. Under the share purchase agreements, the Group will acquire an additional 0.38</w:t>
            </w:r>
            <w:proofErr w:type="gramStart"/>
            <w:r w:rsidRPr="00F7138E">
              <w:rPr>
                <w:rFonts w:cs="Browallia New"/>
                <w:color w:val="000000" w:themeColor="text1"/>
                <w:sz w:val="20"/>
                <w:szCs w:val="20"/>
              </w:rPr>
              <w:t>%  shareholding</w:t>
            </w:r>
            <w:proofErr w:type="gramEnd"/>
            <w:r w:rsidRPr="00F7138E">
              <w:rPr>
                <w:rFonts w:cs="Browallia New"/>
                <w:color w:val="000000" w:themeColor="text1"/>
                <w:sz w:val="20"/>
                <w:szCs w:val="20"/>
              </w:rPr>
              <w:t xml:space="preserve"> interest in CAP with contingent </w:t>
            </w:r>
            <w:r w:rsidRPr="00911CDD">
              <w:rPr>
                <w:rFonts w:cs="Browallia New"/>
                <w:color w:val="000000" w:themeColor="text1"/>
                <w:spacing w:val="-6"/>
                <w:sz w:val="20"/>
                <w:szCs w:val="20"/>
              </w:rPr>
              <w:t>considerations not exceeding either Baht 1</w:t>
            </w:r>
            <w:r w:rsidR="00524C40" w:rsidRPr="00911CDD">
              <w:rPr>
                <w:rFonts w:cs="Browallia New"/>
                <w:color w:val="000000" w:themeColor="text1"/>
                <w:spacing w:val="-6"/>
                <w:sz w:val="20"/>
                <w:szCs w:val="20"/>
              </w:rPr>
              <w:t>29</w:t>
            </w:r>
            <w:r w:rsidRPr="00911CDD">
              <w:rPr>
                <w:rFonts w:cs="Browallia New"/>
                <w:color w:val="000000" w:themeColor="text1"/>
                <w:spacing w:val="-6"/>
                <w:sz w:val="20"/>
                <w:szCs w:val="20"/>
              </w:rPr>
              <w:t xml:space="preserve"> million</w:t>
            </w:r>
            <w:r w:rsidRPr="00F7138E">
              <w:rPr>
                <w:rFonts w:cs="Browallia New"/>
                <w:color w:val="000000" w:themeColor="text1"/>
                <w:sz w:val="20"/>
                <w:szCs w:val="20"/>
              </w:rPr>
              <w:t xml:space="preserve"> or </w:t>
            </w:r>
            <w:r w:rsidR="00F7138E">
              <w:rPr>
                <w:rFonts w:cs="Browallia New"/>
                <w:color w:val="000000" w:themeColor="text1"/>
                <w:sz w:val="20"/>
                <w:szCs w:val="20"/>
              </w:rPr>
              <w:t xml:space="preserve">Baht </w:t>
            </w:r>
            <w:r w:rsidR="00524C40" w:rsidRPr="00F7138E">
              <w:rPr>
                <w:rFonts w:cs="Browallia New"/>
                <w:color w:val="000000" w:themeColor="text1"/>
                <w:sz w:val="20"/>
                <w:szCs w:val="20"/>
              </w:rPr>
              <w:t>8,928</w:t>
            </w:r>
            <w:r w:rsidRPr="00F7138E">
              <w:rPr>
                <w:rFonts w:cs="Browallia New"/>
                <w:color w:val="000000" w:themeColor="text1"/>
                <w:sz w:val="20"/>
                <w:szCs w:val="20"/>
              </w:rPr>
              <w:t xml:space="preserve"> million dep</w:t>
            </w:r>
            <w:r w:rsidR="003565C8">
              <w:rPr>
                <w:rFonts w:cs="Browallia New"/>
                <w:color w:val="000000" w:themeColor="text1"/>
                <w:sz w:val="20"/>
                <w:szCs w:val="20"/>
              </w:rPr>
              <w:t>ending</w:t>
            </w:r>
            <w:r w:rsidRPr="00F7138E">
              <w:rPr>
                <w:rFonts w:cs="Browallia New"/>
                <w:color w:val="000000" w:themeColor="text1"/>
                <w:sz w:val="20"/>
                <w:szCs w:val="20"/>
              </w:rPr>
              <w:t xml:space="preserve"> on </w:t>
            </w:r>
            <w:r w:rsidR="00B74179">
              <w:rPr>
                <w:rFonts w:cs="Browallia New"/>
                <w:color w:val="000000" w:themeColor="text1"/>
                <w:sz w:val="20"/>
                <w:szCs w:val="20"/>
              </w:rPr>
              <w:t xml:space="preserve">whether </w:t>
            </w:r>
            <w:r w:rsidRPr="00F7138E">
              <w:rPr>
                <w:rFonts w:cs="Browallia New"/>
                <w:color w:val="000000" w:themeColor="text1"/>
                <w:sz w:val="20"/>
                <w:szCs w:val="20"/>
              </w:rPr>
              <w:t xml:space="preserve">the conditions </w:t>
            </w:r>
            <w:r w:rsidR="003565C8">
              <w:rPr>
                <w:rFonts w:cs="Browallia New"/>
                <w:color w:val="000000" w:themeColor="text1"/>
                <w:sz w:val="20"/>
                <w:szCs w:val="20"/>
              </w:rPr>
              <w:t>on</w:t>
            </w:r>
            <w:r w:rsidRPr="00F7138E">
              <w:rPr>
                <w:rFonts w:cs="Browallia New"/>
                <w:color w:val="000000" w:themeColor="text1"/>
                <w:sz w:val="20"/>
                <w:szCs w:val="20"/>
              </w:rPr>
              <w:t xml:space="preserve"> the approval for the final investment decision</w:t>
            </w:r>
            <w:r w:rsidR="00B74179">
              <w:rPr>
                <w:rFonts w:cs="Browallia New"/>
                <w:color w:val="000000" w:themeColor="text1"/>
                <w:sz w:val="20"/>
                <w:szCs w:val="20"/>
              </w:rPr>
              <w:t xml:space="preserve"> of a</w:t>
            </w:r>
            <w:r w:rsidRPr="00F7138E">
              <w:rPr>
                <w:rFonts w:cs="Browallia New"/>
                <w:color w:val="000000" w:themeColor="text1"/>
                <w:sz w:val="20"/>
                <w:szCs w:val="20"/>
              </w:rPr>
              <w:t xml:space="preserve"> petrochemical plant construction project by a subsidiary of CAP within five years</w:t>
            </w:r>
            <w:r w:rsidR="00117DF7" w:rsidRPr="00F7138E">
              <w:rPr>
                <w:rFonts w:cs="Browallia New"/>
                <w:color w:val="000000" w:themeColor="text1"/>
                <w:sz w:val="20"/>
                <w:szCs w:val="20"/>
              </w:rPr>
              <w:t xml:space="preserve"> from the date of acquisition of an </w:t>
            </w:r>
            <w:r w:rsidR="00117DF7" w:rsidRPr="004F3ABD">
              <w:rPr>
                <w:rFonts w:cs="Browallia New"/>
                <w:color w:val="000000" w:themeColor="text1"/>
                <w:spacing w:val="-6"/>
                <w:sz w:val="20"/>
                <w:szCs w:val="20"/>
              </w:rPr>
              <w:t>investmen</w:t>
            </w:r>
            <w:r w:rsidR="00A17A61">
              <w:rPr>
                <w:rFonts w:cs="Browallia New"/>
                <w:color w:val="000000" w:themeColor="text1"/>
                <w:spacing w:val="-6"/>
                <w:sz w:val="20"/>
                <w:szCs w:val="20"/>
              </w:rPr>
              <w:t>t</w:t>
            </w:r>
            <w:r w:rsidR="00ED70EB">
              <w:rPr>
                <w:rFonts w:cs="Browallia New" w:hint="cs"/>
                <w:color w:val="000000" w:themeColor="text1"/>
                <w:spacing w:val="-6"/>
                <w:sz w:val="20"/>
                <w:szCs w:val="20"/>
                <w:cs/>
              </w:rPr>
              <w:t xml:space="preserve"> </w:t>
            </w:r>
            <w:r w:rsidR="00ED70EB">
              <w:rPr>
                <w:rFonts w:cs="Browallia New"/>
                <w:color w:val="000000" w:themeColor="text1"/>
                <w:spacing w:val="-6"/>
                <w:sz w:val="20"/>
                <w:szCs w:val="20"/>
              </w:rPr>
              <w:t>are met</w:t>
            </w:r>
            <w:r w:rsidRPr="004F3ABD">
              <w:rPr>
                <w:rFonts w:cs="Browallia New"/>
                <w:color w:val="000000" w:themeColor="text1"/>
                <w:spacing w:val="-6"/>
                <w:sz w:val="20"/>
                <w:szCs w:val="20"/>
              </w:rPr>
              <w:t>. As</w:t>
            </w:r>
            <w:r w:rsidR="00ED70EB">
              <w:rPr>
                <w:rFonts w:cs="Browallia New"/>
                <w:color w:val="000000" w:themeColor="text1"/>
                <w:spacing w:val="-6"/>
                <w:sz w:val="20"/>
                <w:szCs w:val="20"/>
              </w:rPr>
              <w:t xml:space="preserve"> </w:t>
            </w:r>
            <w:proofErr w:type="gramStart"/>
            <w:r w:rsidRPr="004F3ABD">
              <w:rPr>
                <w:rFonts w:cs="Browallia New"/>
                <w:color w:val="000000" w:themeColor="text1"/>
                <w:spacing w:val="-6"/>
                <w:sz w:val="20"/>
                <w:szCs w:val="20"/>
              </w:rPr>
              <w:t>at</w:t>
            </w:r>
            <w:proofErr w:type="gramEnd"/>
            <w:r w:rsidRPr="004F3ABD">
              <w:rPr>
                <w:rFonts w:cs="Browallia New"/>
                <w:color w:val="000000" w:themeColor="text1"/>
                <w:spacing w:val="-6"/>
                <w:sz w:val="20"/>
                <w:szCs w:val="20"/>
              </w:rPr>
              <w:t xml:space="preserve"> 31 December 2021, the contingent</w:t>
            </w:r>
            <w:r w:rsidRPr="00F7138E">
              <w:rPr>
                <w:rFonts w:cs="Browallia New"/>
                <w:color w:val="000000" w:themeColor="text1"/>
                <w:sz w:val="20"/>
                <w:szCs w:val="20"/>
              </w:rPr>
              <w:t xml:space="preserve"> consideration was presented </w:t>
            </w:r>
            <w:r w:rsidR="00B74179">
              <w:rPr>
                <w:rFonts w:cs="Browallia New"/>
                <w:color w:val="000000" w:themeColor="text1"/>
                <w:sz w:val="20"/>
                <w:szCs w:val="20"/>
              </w:rPr>
              <w:t>as</w:t>
            </w:r>
            <w:r w:rsidRPr="00F7138E">
              <w:rPr>
                <w:rFonts w:cs="Browallia New"/>
                <w:color w:val="000000" w:themeColor="text1"/>
                <w:sz w:val="20"/>
                <w:szCs w:val="20"/>
              </w:rPr>
              <w:t xml:space="preserve"> other non-current </w:t>
            </w:r>
            <w:r w:rsidRPr="004F3ABD">
              <w:rPr>
                <w:rFonts w:cs="Browallia New"/>
                <w:color w:val="000000" w:themeColor="text1"/>
                <w:spacing w:val="-6"/>
                <w:sz w:val="20"/>
                <w:szCs w:val="20"/>
              </w:rPr>
              <w:t>liabilities in the consolidated statement of financial position.</w:t>
            </w:r>
          </w:p>
          <w:p w14:paraId="34EA1E85" w14:textId="77777777" w:rsidR="00210672" w:rsidRPr="00912349" w:rsidRDefault="00210672" w:rsidP="00210672">
            <w:pPr>
              <w:pStyle w:val="Default"/>
              <w:spacing w:line="259" w:lineRule="auto"/>
              <w:jc w:val="both"/>
              <w:rPr>
                <w:rFonts w:cs="Browallia New"/>
                <w:color w:val="000000" w:themeColor="text1"/>
                <w:sz w:val="20"/>
                <w:szCs w:val="20"/>
              </w:rPr>
            </w:pPr>
          </w:p>
          <w:p w14:paraId="14A1962E" w14:textId="34013F3F" w:rsidR="00210672" w:rsidRPr="00C711B0" w:rsidRDefault="00210672" w:rsidP="00F7138E">
            <w:pPr>
              <w:pStyle w:val="Default"/>
              <w:jc w:val="both"/>
              <w:rPr>
                <w:color w:val="000000" w:themeColor="text1"/>
                <w:spacing w:val="-2"/>
                <w:sz w:val="20"/>
                <w:szCs w:val="20"/>
              </w:rPr>
            </w:pPr>
            <w:r w:rsidRPr="00F7138E">
              <w:rPr>
                <w:color w:val="000000" w:themeColor="text1"/>
                <w:spacing w:val="-6"/>
                <w:sz w:val="20"/>
                <w:szCs w:val="20"/>
              </w:rPr>
              <w:t>The Group paid</w:t>
            </w:r>
            <w:r w:rsidRPr="00F7138E">
              <w:rPr>
                <w:rFonts w:cstheme="minorBidi" w:hint="cs"/>
                <w:color w:val="000000" w:themeColor="text1"/>
                <w:spacing w:val="-6"/>
                <w:sz w:val="20"/>
                <w:szCs w:val="20"/>
                <w:cs/>
              </w:rPr>
              <w:t xml:space="preserve"> </w:t>
            </w:r>
            <w:r w:rsidRPr="00F7138E">
              <w:rPr>
                <w:rFonts w:cstheme="minorBidi"/>
                <w:color w:val="000000" w:themeColor="text1"/>
                <w:spacing w:val="-6"/>
                <w:sz w:val="20"/>
                <w:szCs w:val="20"/>
              </w:rPr>
              <w:t>for</w:t>
            </w:r>
            <w:r w:rsidRPr="00F7138E">
              <w:rPr>
                <w:color w:val="000000" w:themeColor="text1"/>
                <w:spacing w:val="-6"/>
                <w:sz w:val="20"/>
                <w:szCs w:val="20"/>
              </w:rPr>
              <w:t xml:space="preserve"> the share purchase consideration</w:t>
            </w:r>
            <w:r w:rsidRPr="00F7138E">
              <w:rPr>
                <w:color w:val="000000" w:themeColor="text1"/>
                <w:sz w:val="20"/>
                <w:szCs w:val="20"/>
              </w:rPr>
              <w:t xml:space="preserve"> </w:t>
            </w:r>
            <w:r w:rsidRPr="00F7138E">
              <w:rPr>
                <w:color w:val="000000" w:themeColor="text1"/>
                <w:spacing w:val="-2"/>
                <w:sz w:val="20"/>
                <w:szCs w:val="20"/>
              </w:rPr>
              <w:t xml:space="preserve">and estimated a contingent consideration </w:t>
            </w:r>
            <w:r w:rsidR="00F7138E" w:rsidRPr="00F7138E">
              <w:rPr>
                <w:color w:val="000000" w:themeColor="text1"/>
                <w:spacing w:val="-2"/>
                <w:sz w:val="20"/>
                <w:szCs w:val="20"/>
              </w:rPr>
              <w:t>totalling</w:t>
            </w:r>
            <w:r w:rsidR="00F7138E">
              <w:rPr>
                <w:color w:val="000000" w:themeColor="text1"/>
                <w:sz w:val="20"/>
                <w:szCs w:val="20"/>
              </w:rPr>
              <w:t xml:space="preserve"> </w:t>
            </w:r>
            <w:r w:rsidRPr="00F7138E">
              <w:rPr>
                <w:color w:val="000000" w:themeColor="text1"/>
                <w:sz w:val="20"/>
                <w:szCs w:val="20"/>
              </w:rPr>
              <w:t>of Baht 29,91</w:t>
            </w:r>
            <w:r w:rsidR="00E01593" w:rsidRPr="00F7138E">
              <w:rPr>
                <w:color w:val="000000" w:themeColor="text1"/>
                <w:sz w:val="20"/>
                <w:szCs w:val="20"/>
              </w:rPr>
              <w:t>1</w:t>
            </w:r>
            <w:r w:rsidRPr="00F7138E">
              <w:rPr>
                <w:color w:val="000000" w:themeColor="text1"/>
                <w:sz w:val="20"/>
                <w:szCs w:val="20"/>
              </w:rPr>
              <w:t xml:space="preserve"> million. Management engaged an external valuer to appraise </w:t>
            </w:r>
            <w:r w:rsidR="00524C40" w:rsidRPr="00F7138E">
              <w:rPr>
                <w:color w:val="000000" w:themeColor="text1"/>
                <w:sz w:val="20"/>
                <w:szCs w:val="20"/>
              </w:rPr>
              <w:t xml:space="preserve">the </w:t>
            </w:r>
            <w:r w:rsidRPr="00F7138E">
              <w:rPr>
                <w:color w:val="000000" w:themeColor="text1"/>
                <w:sz w:val="20"/>
                <w:szCs w:val="20"/>
              </w:rPr>
              <w:t xml:space="preserve">fair value of net identifiable assets acquired </w:t>
            </w:r>
            <w:r w:rsidR="00C711B0" w:rsidRPr="00F7138E">
              <w:rPr>
                <w:color w:val="000000" w:themeColor="text1"/>
                <w:sz w:val="20"/>
                <w:szCs w:val="20"/>
              </w:rPr>
              <w:t xml:space="preserve">and the purchase </w:t>
            </w:r>
            <w:r w:rsidR="00C711B0" w:rsidRPr="00911CDD">
              <w:rPr>
                <w:color w:val="000000" w:themeColor="text1"/>
                <w:spacing w:val="-4"/>
                <w:sz w:val="20"/>
                <w:szCs w:val="20"/>
              </w:rPr>
              <w:t xml:space="preserve">price over assets </w:t>
            </w:r>
            <w:r w:rsidR="004F3ABD" w:rsidRPr="00911CDD">
              <w:rPr>
                <w:rFonts w:eastAsia="Times New Roman"/>
                <w:color w:val="000000" w:themeColor="text1"/>
                <w:spacing w:val="-4"/>
                <w:sz w:val="20"/>
                <w:szCs w:val="20"/>
                <w:lang w:eastAsia="en-GB"/>
              </w:rPr>
              <w:t>acquired</w:t>
            </w:r>
            <w:r w:rsidR="00C711B0" w:rsidRPr="00911CDD">
              <w:rPr>
                <w:color w:val="000000" w:themeColor="text1"/>
                <w:spacing w:val="-4"/>
                <w:sz w:val="20"/>
                <w:szCs w:val="20"/>
              </w:rPr>
              <w:t xml:space="preserve"> </w:t>
            </w:r>
            <w:r w:rsidR="00524C40" w:rsidRPr="00911CDD">
              <w:rPr>
                <w:color w:val="000000" w:themeColor="text1"/>
                <w:spacing w:val="-4"/>
                <w:sz w:val="20"/>
                <w:szCs w:val="20"/>
              </w:rPr>
              <w:t>as disclosed in Note 42.</w:t>
            </w:r>
            <w:r w:rsidR="00524C40" w:rsidRPr="00F7138E">
              <w:rPr>
                <w:color w:val="000000" w:themeColor="text1"/>
                <w:sz w:val="20"/>
                <w:szCs w:val="20"/>
              </w:rPr>
              <w:t xml:space="preserve"> Th</w:t>
            </w:r>
            <w:r w:rsidR="00C711B0" w:rsidRPr="00F7138E">
              <w:rPr>
                <w:color w:val="000000" w:themeColor="text1"/>
                <w:sz w:val="20"/>
                <w:szCs w:val="20"/>
              </w:rPr>
              <w:t>e following a</w:t>
            </w:r>
            <w:r w:rsidR="00524C40" w:rsidRPr="00F7138E">
              <w:rPr>
                <w:color w:val="000000" w:themeColor="text1"/>
                <w:sz w:val="20"/>
                <w:szCs w:val="20"/>
              </w:rPr>
              <w:t xml:space="preserve">mount </w:t>
            </w:r>
            <w:r w:rsidR="00C711B0" w:rsidRPr="00F7138E">
              <w:rPr>
                <w:color w:val="000000" w:themeColor="text1"/>
                <w:sz w:val="20"/>
                <w:szCs w:val="20"/>
              </w:rPr>
              <w:t xml:space="preserve">was presented as part </w:t>
            </w:r>
            <w:r w:rsidR="00C711B0" w:rsidRPr="004F3ABD">
              <w:rPr>
                <w:color w:val="000000" w:themeColor="text1"/>
                <w:spacing w:val="-6"/>
                <w:sz w:val="20"/>
                <w:szCs w:val="20"/>
              </w:rPr>
              <w:t>of an</w:t>
            </w:r>
            <w:r w:rsidRPr="004F3ABD">
              <w:rPr>
                <w:color w:val="000000" w:themeColor="text1"/>
                <w:spacing w:val="-6"/>
                <w:sz w:val="20"/>
                <w:szCs w:val="20"/>
              </w:rPr>
              <w:t xml:space="preserve"> investment in an associat</w:t>
            </w:r>
            <w:r w:rsidR="00524C40" w:rsidRPr="004F3ABD">
              <w:rPr>
                <w:color w:val="000000" w:themeColor="text1"/>
                <w:spacing w:val="-6"/>
                <w:sz w:val="20"/>
                <w:szCs w:val="20"/>
              </w:rPr>
              <w:t xml:space="preserve">e. </w:t>
            </w:r>
            <w:r w:rsidRPr="004F3ABD">
              <w:rPr>
                <w:color w:val="000000" w:themeColor="text1"/>
                <w:spacing w:val="-6"/>
                <w:sz w:val="20"/>
                <w:szCs w:val="20"/>
              </w:rPr>
              <w:t>As at the</w:t>
            </w:r>
            <w:r w:rsidR="00C711B0" w:rsidRPr="004F3ABD">
              <w:rPr>
                <w:color w:val="000000" w:themeColor="text1"/>
                <w:spacing w:val="-6"/>
                <w:sz w:val="20"/>
                <w:szCs w:val="20"/>
              </w:rPr>
              <w:t xml:space="preserve"> </w:t>
            </w:r>
            <w:r w:rsidRPr="004F3ABD">
              <w:rPr>
                <w:color w:val="000000" w:themeColor="text1"/>
                <w:spacing w:val="-6"/>
                <w:sz w:val="20"/>
                <w:szCs w:val="20"/>
              </w:rPr>
              <w:t>acquisition</w:t>
            </w:r>
            <w:r w:rsidRPr="00F7138E">
              <w:rPr>
                <w:color w:val="000000" w:themeColor="text1"/>
                <w:sz w:val="20"/>
                <w:szCs w:val="20"/>
              </w:rPr>
              <w:t xml:space="preserve"> </w:t>
            </w:r>
            <w:r w:rsidRPr="004F3ABD">
              <w:rPr>
                <w:color w:val="000000" w:themeColor="text1"/>
                <w:spacing w:val="-4"/>
                <w:sz w:val="20"/>
                <w:szCs w:val="20"/>
              </w:rPr>
              <w:t>date, the total purchase</w:t>
            </w:r>
            <w:r w:rsidR="00C711B0" w:rsidRPr="004F3ABD">
              <w:rPr>
                <w:color w:val="000000" w:themeColor="text1"/>
                <w:spacing w:val="-4"/>
                <w:sz w:val="20"/>
                <w:szCs w:val="20"/>
              </w:rPr>
              <w:t xml:space="preserve"> </w:t>
            </w:r>
            <w:r w:rsidRPr="004F3ABD">
              <w:rPr>
                <w:color w:val="000000" w:themeColor="text1"/>
                <w:spacing w:val="-4"/>
                <w:sz w:val="20"/>
                <w:szCs w:val="20"/>
              </w:rPr>
              <w:t>considerations represented</w:t>
            </w:r>
            <w:r w:rsidRPr="00F7138E">
              <w:rPr>
                <w:color w:val="000000" w:themeColor="text1"/>
                <w:sz w:val="20"/>
                <w:szCs w:val="20"/>
              </w:rPr>
              <w:t xml:space="preserve"> 8% of the total consolidated assets</w:t>
            </w:r>
            <w:r w:rsidRPr="00C711B0">
              <w:rPr>
                <w:color w:val="000000" w:themeColor="text1"/>
                <w:spacing w:val="-2"/>
                <w:sz w:val="20"/>
                <w:szCs w:val="20"/>
              </w:rPr>
              <w:t>.</w:t>
            </w:r>
          </w:p>
          <w:p w14:paraId="160B2F97" w14:textId="7BE3BFBD" w:rsidR="00210672" w:rsidRPr="00C711B0" w:rsidRDefault="00210672" w:rsidP="00210672">
            <w:pPr>
              <w:jc w:val="both"/>
              <w:rPr>
                <w:rFonts w:ascii="Arial" w:hAnsi="Arial"/>
                <w:color w:val="000000" w:themeColor="text1"/>
                <w:spacing w:val="-2"/>
                <w:sz w:val="20"/>
                <w:szCs w:val="20"/>
              </w:rPr>
            </w:pPr>
          </w:p>
          <w:p w14:paraId="6B3FA693" w14:textId="03E64B6B" w:rsidR="00210672" w:rsidRDefault="00210672" w:rsidP="00210672">
            <w:pPr>
              <w:jc w:val="both"/>
              <w:rPr>
                <w:rFonts w:ascii="Arial" w:hAnsi="Arial"/>
                <w:color w:val="000000" w:themeColor="text1"/>
                <w:spacing w:val="-4"/>
                <w:sz w:val="20"/>
                <w:szCs w:val="20"/>
              </w:rPr>
            </w:pPr>
          </w:p>
          <w:p w14:paraId="34E7FEA5" w14:textId="4320D150" w:rsidR="00210672" w:rsidRDefault="00210672" w:rsidP="00210672">
            <w:pPr>
              <w:jc w:val="both"/>
              <w:rPr>
                <w:rFonts w:ascii="Arial" w:hAnsi="Arial"/>
                <w:color w:val="000000" w:themeColor="text1"/>
                <w:spacing w:val="-4"/>
                <w:sz w:val="20"/>
                <w:szCs w:val="20"/>
              </w:rPr>
            </w:pPr>
          </w:p>
          <w:p w14:paraId="5D0ACDF1" w14:textId="028B7544" w:rsidR="00210672" w:rsidRDefault="00210672" w:rsidP="00210672">
            <w:pPr>
              <w:jc w:val="both"/>
              <w:rPr>
                <w:rFonts w:ascii="Arial" w:hAnsi="Arial"/>
                <w:color w:val="000000" w:themeColor="text1"/>
                <w:spacing w:val="-4"/>
                <w:sz w:val="20"/>
                <w:szCs w:val="20"/>
              </w:rPr>
            </w:pPr>
          </w:p>
          <w:p w14:paraId="3B1E5598" w14:textId="15C6824A" w:rsidR="00210672" w:rsidRDefault="00210672" w:rsidP="00210672">
            <w:pPr>
              <w:jc w:val="both"/>
              <w:rPr>
                <w:rFonts w:ascii="Arial" w:hAnsi="Arial"/>
                <w:color w:val="000000" w:themeColor="text1"/>
                <w:spacing w:val="-4"/>
                <w:sz w:val="20"/>
                <w:szCs w:val="20"/>
              </w:rPr>
            </w:pPr>
          </w:p>
          <w:p w14:paraId="7B8101BC" w14:textId="1F2C739F" w:rsidR="00210672" w:rsidRDefault="00210672" w:rsidP="00210672">
            <w:pPr>
              <w:jc w:val="both"/>
              <w:rPr>
                <w:rFonts w:ascii="Arial" w:hAnsi="Arial"/>
                <w:color w:val="000000" w:themeColor="text1"/>
                <w:spacing w:val="-4"/>
                <w:sz w:val="20"/>
                <w:szCs w:val="20"/>
              </w:rPr>
            </w:pPr>
          </w:p>
          <w:p w14:paraId="075C6B04" w14:textId="7F821A2B" w:rsidR="00210672" w:rsidRDefault="00210672" w:rsidP="00210672">
            <w:pPr>
              <w:jc w:val="both"/>
              <w:rPr>
                <w:rFonts w:ascii="Arial" w:hAnsi="Arial"/>
                <w:color w:val="000000" w:themeColor="text1"/>
                <w:spacing w:val="-4"/>
                <w:sz w:val="20"/>
                <w:szCs w:val="20"/>
              </w:rPr>
            </w:pPr>
          </w:p>
          <w:p w14:paraId="3D32D9C9" w14:textId="4389B1F8" w:rsidR="00210672" w:rsidRDefault="00210672" w:rsidP="00210672">
            <w:pPr>
              <w:jc w:val="both"/>
              <w:rPr>
                <w:rFonts w:ascii="Arial" w:hAnsi="Arial"/>
                <w:color w:val="000000" w:themeColor="text1"/>
                <w:spacing w:val="-4"/>
                <w:sz w:val="20"/>
                <w:szCs w:val="20"/>
              </w:rPr>
            </w:pPr>
          </w:p>
          <w:p w14:paraId="147D4C71" w14:textId="77777777" w:rsidR="00911CDD" w:rsidRDefault="00911CDD" w:rsidP="00210672">
            <w:pPr>
              <w:jc w:val="both"/>
              <w:rPr>
                <w:rFonts w:ascii="Arial" w:hAnsi="Arial"/>
                <w:color w:val="000000" w:themeColor="text1"/>
                <w:spacing w:val="-4"/>
                <w:sz w:val="20"/>
                <w:szCs w:val="20"/>
              </w:rPr>
            </w:pPr>
          </w:p>
          <w:p w14:paraId="192F4864" w14:textId="77777777" w:rsidR="00C711B0" w:rsidRDefault="00C711B0" w:rsidP="00210672">
            <w:pPr>
              <w:jc w:val="both"/>
              <w:rPr>
                <w:rFonts w:ascii="Arial" w:hAnsi="Arial"/>
                <w:color w:val="000000" w:themeColor="text1"/>
                <w:spacing w:val="-4"/>
                <w:sz w:val="20"/>
                <w:szCs w:val="20"/>
              </w:rPr>
            </w:pPr>
          </w:p>
          <w:p w14:paraId="5590A710" w14:textId="77777777" w:rsidR="00210672" w:rsidRPr="00210672" w:rsidRDefault="00210672" w:rsidP="00210672">
            <w:pPr>
              <w:jc w:val="both"/>
              <w:rPr>
                <w:rFonts w:ascii="Arial" w:hAnsi="Arial"/>
                <w:color w:val="000000" w:themeColor="text1"/>
                <w:spacing w:val="-4"/>
                <w:sz w:val="20"/>
                <w:szCs w:val="20"/>
              </w:rPr>
            </w:pPr>
          </w:p>
          <w:p w14:paraId="462D7545" w14:textId="77777777" w:rsidR="00210672" w:rsidRDefault="00210672" w:rsidP="00210672">
            <w:pPr>
              <w:tabs>
                <w:tab w:val="left" w:pos="2892"/>
              </w:tabs>
              <w:ind w:right="72"/>
              <w:jc w:val="both"/>
              <w:rPr>
                <w:rFonts w:ascii="Arial" w:hAnsi="Arial" w:cs="Arial"/>
                <w:color w:val="000000" w:themeColor="text1"/>
                <w:spacing w:val="-4"/>
                <w:sz w:val="20"/>
                <w:szCs w:val="20"/>
              </w:rPr>
            </w:pPr>
            <w:r w:rsidRPr="00912349">
              <w:rPr>
                <w:rFonts w:ascii="Arial" w:hAnsi="Arial" w:cs="Arial"/>
                <w:color w:val="000000" w:themeColor="text1"/>
                <w:spacing w:val="-4"/>
                <w:sz w:val="20"/>
                <w:szCs w:val="20"/>
              </w:rPr>
              <w:t>I focused on</w:t>
            </w:r>
            <w:r>
              <w:rPr>
                <w:rFonts w:ascii="Arial" w:hAnsi="Arial" w:cs="Arial"/>
                <w:color w:val="000000" w:themeColor="text1"/>
                <w:spacing w:val="-4"/>
                <w:sz w:val="20"/>
                <w:szCs w:val="20"/>
              </w:rPr>
              <w:t>:</w:t>
            </w:r>
            <w:r w:rsidRPr="00912349">
              <w:rPr>
                <w:rFonts w:ascii="Arial" w:hAnsi="Arial" w:cs="Arial"/>
                <w:color w:val="000000" w:themeColor="text1"/>
                <w:spacing w:val="-4"/>
                <w:sz w:val="20"/>
                <w:szCs w:val="20"/>
              </w:rPr>
              <w:t xml:space="preserve"> </w:t>
            </w:r>
          </w:p>
          <w:p w14:paraId="58F8A17F" w14:textId="415E1D8C" w:rsidR="00210672" w:rsidRDefault="00210672" w:rsidP="00210672">
            <w:pPr>
              <w:pStyle w:val="ListParagraph"/>
              <w:numPr>
                <w:ilvl w:val="0"/>
                <w:numId w:val="9"/>
              </w:numPr>
              <w:tabs>
                <w:tab w:val="left" w:pos="2892"/>
              </w:tabs>
              <w:spacing w:before="120"/>
              <w:ind w:left="284" w:hanging="284"/>
              <w:contextualSpacing w:val="0"/>
              <w:jc w:val="both"/>
              <w:rPr>
                <w:rFonts w:ascii="Arial" w:hAnsi="Arial" w:cs="Arial"/>
                <w:color w:val="000000" w:themeColor="text1"/>
                <w:spacing w:val="-4"/>
                <w:sz w:val="20"/>
                <w:szCs w:val="20"/>
              </w:rPr>
            </w:pPr>
            <w:r w:rsidRPr="00C93541">
              <w:rPr>
                <w:rFonts w:ascii="Arial" w:hAnsi="Arial" w:cs="Arial"/>
                <w:color w:val="000000" w:themeColor="text1"/>
                <w:spacing w:val="-4"/>
                <w:sz w:val="20"/>
                <w:szCs w:val="20"/>
              </w:rPr>
              <w:t>the</w:t>
            </w:r>
            <w:r w:rsidRPr="00C93541">
              <w:rPr>
                <w:rFonts w:ascii="Arial" w:hAnsi="Arial" w:hint="cs"/>
                <w:color w:val="000000" w:themeColor="text1"/>
                <w:spacing w:val="-4"/>
                <w:sz w:val="20"/>
                <w:szCs w:val="20"/>
                <w:cs/>
              </w:rPr>
              <w:t xml:space="preserve"> </w:t>
            </w:r>
            <w:r w:rsidRPr="00C93541">
              <w:rPr>
                <w:rFonts w:ascii="Arial" w:hAnsi="Arial"/>
                <w:color w:val="000000" w:themeColor="text1"/>
                <w:spacing w:val="-4"/>
                <w:sz w:val="20"/>
                <w:szCs w:val="20"/>
              </w:rPr>
              <w:t>investment</w:t>
            </w:r>
            <w:r w:rsidRPr="00C93541">
              <w:rPr>
                <w:rFonts w:ascii="Arial" w:hAnsi="Arial" w:cs="Arial"/>
                <w:color w:val="000000" w:themeColor="text1"/>
                <w:spacing w:val="-4"/>
                <w:sz w:val="20"/>
                <w:szCs w:val="20"/>
              </w:rPr>
              <w:t xml:space="preserve"> classification</w:t>
            </w:r>
            <w:r w:rsidR="005A6238">
              <w:rPr>
                <w:rFonts w:ascii="Arial" w:hAnsi="Arial" w:cs="Arial"/>
                <w:color w:val="000000" w:themeColor="text1"/>
                <w:spacing w:val="-4"/>
                <w:sz w:val="20"/>
                <w:szCs w:val="20"/>
              </w:rPr>
              <w:t>,</w:t>
            </w:r>
          </w:p>
          <w:p w14:paraId="55585F46" w14:textId="50C57C64" w:rsidR="00210672" w:rsidRPr="00C711B0" w:rsidRDefault="00210672" w:rsidP="00210672">
            <w:pPr>
              <w:pStyle w:val="ListParagraph"/>
              <w:numPr>
                <w:ilvl w:val="0"/>
                <w:numId w:val="9"/>
              </w:numPr>
              <w:tabs>
                <w:tab w:val="left" w:pos="2892"/>
              </w:tabs>
              <w:spacing w:before="120"/>
              <w:ind w:left="284" w:hanging="284"/>
              <w:contextualSpacing w:val="0"/>
              <w:jc w:val="both"/>
              <w:rPr>
                <w:rFonts w:ascii="Arial" w:hAnsi="Arial" w:cs="Arial"/>
                <w:color w:val="000000" w:themeColor="text1"/>
                <w:sz w:val="20"/>
                <w:szCs w:val="20"/>
              </w:rPr>
            </w:pPr>
            <w:r w:rsidRPr="005A6238">
              <w:rPr>
                <w:rFonts w:ascii="Arial" w:hAnsi="Arial" w:cs="Arial"/>
                <w:color w:val="000000" w:themeColor="text1"/>
                <w:spacing w:val="-4"/>
                <w:sz w:val="20"/>
                <w:szCs w:val="20"/>
              </w:rPr>
              <w:t>the estimate of fair values of the net identifiable</w:t>
            </w:r>
            <w:r w:rsidRPr="00C711B0">
              <w:rPr>
                <w:rFonts w:ascii="Arial" w:hAnsi="Arial" w:cs="Arial"/>
                <w:color w:val="000000" w:themeColor="text1"/>
                <w:sz w:val="20"/>
                <w:szCs w:val="20"/>
              </w:rPr>
              <w:t xml:space="preserve"> </w:t>
            </w:r>
            <w:r w:rsidRPr="00F55049">
              <w:rPr>
                <w:rFonts w:ascii="Arial" w:hAnsi="Arial" w:cs="Arial"/>
                <w:color w:val="000000" w:themeColor="text1"/>
                <w:spacing w:val="-8"/>
                <w:sz w:val="20"/>
                <w:szCs w:val="20"/>
              </w:rPr>
              <w:t>assets acquired and the estimate of the contingent</w:t>
            </w:r>
            <w:r w:rsidRPr="005A6238">
              <w:rPr>
                <w:rFonts w:ascii="Arial" w:hAnsi="Arial" w:cs="Arial"/>
                <w:color w:val="000000" w:themeColor="text1"/>
                <w:spacing w:val="-8"/>
                <w:sz w:val="20"/>
                <w:szCs w:val="20"/>
              </w:rPr>
              <w:t xml:space="preserve"> consideration because </w:t>
            </w:r>
            <w:r w:rsidR="005A6238" w:rsidRPr="005A6238">
              <w:rPr>
                <w:rFonts w:ascii="Arial" w:hAnsi="Arial" w:cs="Arial"/>
                <w:color w:val="000000" w:themeColor="text1"/>
                <w:spacing w:val="-8"/>
                <w:sz w:val="20"/>
                <w:szCs w:val="20"/>
              </w:rPr>
              <w:t>it is sig</w:t>
            </w:r>
            <w:r w:rsidR="00A70770">
              <w:rPr>
                <w:rFonts w:ascii="Arial" w:hAnsi="Arial" w:cs="Arial"/>
                <w:color w:val="000000" w:themeColor="text1"/>
                <w:spacing w:val="-8"/>
                <w:sz w:val="20"/>
                <w:szCs w:val="20"/>
              </w:rPr>
              <w:t xml:space="preserve">nificant to </w:t>
            </w:r>
            <w:r w:rsidRPr="00C711B0">
              <w:rPr>
                <w:rFonts w:ascii="Arial" w:hAnsi="Arial" w:cs="Arial"/>
                <w:color w:val="000000" w:themeColor="text1"/>
                <w:sz w:val="20"/>
                <w:szCs w:val="20"/>
              </w:rPr>
              <w:t xml:space="preserve">the </w:t>
            </w:r>
            <w:r w:rsidR="005A6238">
              <w:rPr>
                <w:rFonts w:ascii="Arial" w:hAnsi="Arial" w:cs="Arial"/>
                <w:color w:val="000000" w:themeColor="text1"/>
                <w:sz w:val="20"/>
                <w:szCs w:val="20"/>
              </w:rPr>
              <w:t>consolidated financial statements,</w:t>
            </w:r>
          </w:p>
          <w:p w14:paraId="3A4BEDFA" w14:textId="23FD784E" w:rsidR="00210672" w:rsidRPr="005A6238" w:rsidRDefault="005A6238" w:rsidP="00210672">
            <w:pPr>
              <w:pStyle w:val="ListParagraph"/>
              <w:numPr>
                <w:ilvl w:val="0"/>
                <w:numId w:val="9"/>
              </w:numPr>
              <w:tabs>
                <w:tab w:val="left" w:pos="2892"/>
              </w:tabs>
              <w:spacing w:before="120"/>
              <w:ind w:left="284" w:hanging="284"/>
              <w:contextualSpacing w:val="0"/>
              <w:jc w:val="both"/>
              <w:rPr>
                <w:rFonts w:ascii="Arial" w:hAnsi="Arial" w:cs="Arial"/>
                <w:color w:val="000000" w:themeColor="text1"/>
                <w:sz w:val="20"/>
                <w:szCs w:val="20"/>
              </w:rPr>
            </w:pPr>
            <w:r w:rsidRPr="005A6238">
              <w:rPr>
                <w:rFonts w:ascii="Arial" w:hAnsi="Arial" w:cs="Arial"/>
                <w:color w:val="000000" w:themeColor="text1"/>
                <w:spacing w:val="-12"/>
                <w:sz w:val="20"/>
                <w:szCs w:val="20"/>
              </w:rPr>
              <w:t xml:space="preserve">It involved </w:t>
            </w:r>
            <w:r w:rsidR="00210672" w:rsidRPr="005A6238">
              <w:rPr>
                <w:rFonts w:ascii="Arial" w:hAnsi="Arial" w:cs="Arial"/>
                <w:color w:val="000000" w:themeColor="text1"/>
                <w:spacing w:val="-12"/>
                <w:sz w:val="20"/>
                <w:szCs w:val="20"/>
              </w:rPr>
              <w:t>management’s judgements in determining</w:t>
            </w:r>
            <w:r w:rsidR="00210672" w:rsidRPr="005A6238">
              <w:rPr>
                <w:rFonts w:ascii="Arial" w:hAnsi="Arial" w:cs="Arial"/>
                <w:color w:val="000000" w:themeColor="text1"/>
                <w:sz w:val="20"/>
                <w:szCs w:val="20"/>
              </w:rPr>
              <w:t xml:space="preserve"> the investment classification, and </w:t>
            </w:r>
          </w:p>
          <w:p w14:paraId="1A990865" w14:textId="4192C49C" w:rsidR="00B06513" w:rsidRPr="00C711B0" w:rsidRDefault="00210672" w:rsidP="00210672">
            <w:pPr>
              <w:pStyle w:val="ListParagraph"/>
              <w:numPr>
                <w:ilvl w:val="0"/>
                <w:numId w:val="9"/>
              </w:numPr>
              <w:tabs>
                <w:tab w:val="left" w:pos="2892"/>
              </w:tabs>
              <w:spacing w:before="120"/>
              <w:ind w:left="284" w:hanging="284"/>
              <w:contextualSpacing w:val="0"/>
              <w:jc w:val="both"/>
              <w:rPr>
                <w:rFonts w:ascii="Arial" w:hAnsi="Arial" w:cs="Arial"/>
                <w:color w:val="000000" w:themeColor="text1"/>
                <w:spacing w:val="-6"/>
                <w:sz w:val="20"/>
                <w:szCs w:val="20"/>
              </w:rPr>
            </w:pPr>
            <w:r w:rsidRPr="00C711B0">
              <w:rPr>
                <w:rFonts w:ascii="Arial" w:hAnsi="Arial" w:cs="Arial"/>
                <w:color w:val="000000" w:themeColor="text1"/>
                <w:spacing w:val="-6"/>
                <w:sz w:val="20"/>
                <w:szCs w:val="20"/>
              </w:rPr>
              <w:t>the</w:t>
            </w:r>
            <w:r w:rsidR="00C711B0" w:rsidRPr="00C711B0">
              <w:rPr>
                <w:rFonts w:ascii="Arial" w:hAnsi="Arial" w:cs="Arial"/>
                <w:color w:val="000000" w:themeColor="text1"/>
                <w:spacing w:val="-6"/>
                <w:sz w:val="20"/>
                <w:szCs w:val="20"/>
              </w:rPr>
              <w:t xml:space="preserve"> </w:t>
            </w:r>
            <w:r w:rsidRPr="00C711B0">
              <w:rPr>
                <w:rFonts w:ascii="Arial" w:hAnsi="Arial" w:cs="Arial"/>
                <w:color w:val="000000" w:themeColor="text1"/>
                <w:spacing w:val="-6"/>
                <w:sz w:val="20"/>
                <w:szCs w:val="20"/>
              </w:rPr>
              <w:t>identification of the contingent</w:t>
            </w:r>
            <w:r w:rsidR="00C711B0" w:rsidRPr="00C711B0">
              <w:rPr>
                <w:rFonts w:ascii="Arial" w:hAnsi="Arial" w:cs="Arial"/>
                <w:color w:val="000000" w:themeColor="text1"/>
                <w:spacing w:val="-6"/>
                <w:sz w:val="20"/>
                <w:szCs w:val="20"/>
              </w:rPr>
              <w:t xml:space="preserve"> </w:t>
            </w:r>
            <w:r w:rsidRPr="00C711B0">
              <w:rPr>
                <w:rFonts w:ascii="Arial" w:hAnsi="Arial" w:cs="Arial"/>
                <w:color w:val="000000" w:themeColor="text1"/>
                <w:spacing w:val="-6"/>
                <w:sz w:val="20"/>
                <w:szCs w:val="20"/>
              </w:rPr>
              <w:t xml:space="preserve">consideration </w:t>
            </w:r>
            <w:r w:rsidRPr="00F55049">
              <w:rPr>
                <w:rFonts w:ascii="Arial" w:hAnsi="Arial" w:cs="Arial"/>
                <w:color w:val="000000" w:themeColor="text1"/>
                <w:spacing w:val="-8"/>
                <w:sz w:val="20"/>
                <w:szCs w:val="20"/>
              </w:rPr>
              <w:t>involv</w:t>
            </w:r>
            <w:r w:rsidR="00657C8B">
              <w:rPr>
                <w:rFonts w:ascii="Arial" w:hAnsi="Arial" w:cs="Arial"/>
                <w:color w:val="000000" w:themeColor="text1"/>
                <w:spacing w:val="-8"/>
                <w:sz w:val="20"/>
                <w:szCs w:val="20"/>
              </w:rPr>
              <w:t>ed</w:t>
            </w:r>
            <w:r w:rsidRPr="00F55049">
              <w:rPr>
                <w:rFonts w:ascii="Arial" w:hAnsi="Arial" w:cs="Arial"/>
                <w:color w:val="000000" w:themeColor="text1"/>
                <w:spacing w:val="-8"/>
                <w:sz w:val="20"/>
                <w:szCs w:val="20"/>
              </w:rPr>
              <w:t xml:space="preserve"> assumptions </w:t>
            </w:r>
            <w:r w:rsidR="00F55049" w:rsidRPr="00F55049">
              <w:rPr>
                <w:rFonts w:ascii="Arial" w:hAnsi="Arial" w:cs="Arial"/>
                <w:color w:val="000000" w:themeColor="text1"/>
                <w:spacing w:val="-8"/>
                <w:sz w:val="20"/>
                <w:szCs w:val="20"/>
              </w:rPr>
              <w:t>and probable future events</w:t>
            </w:r>
            <w:r w:rsidR="00F55049">
              <w:rPr>
                <w:rFonts w:ascii="Arial" w:hAnsi="Arial" w:cs="Arial"/>
                <w:color w:val="000000" w:themeColor="text1"/>
                <w:spacing w:val="-6"/>
                <w:sz w:val="20"/>
                <w:szCs w:val="20"/>
              </w:rPr>
              <w:t xml:space="preserve"> when </w:t>
            </w:r>
            <w:r w:rsidRPr="00C711B0">
              <w:rPr>
                <w:rFonts w:ascii="Arial" w:hAnsi="Arial" w:cs="Arial"/>
                <w:color w:val="000000" w:themeColor="text1"/>
                <w:spacing w:val="-6"/>
                <w:sz w:val="20"/>
                <w:szCs w:val="20"/>
              </w:rPr>
              <w:t>assessing</w:t>
            </w:r>
            <w:r w:rsidR="00F55049">
              <w:rPr>
                <w:rFonts w:ascii="Arial" w:hAnsi="Arial" w:cs="Arial"/>
                <w:color w:val="000000" w:themeColor="text1"/>
                <w:spacing w:val="-6"/>
                <w:sz w:val="20"/>
                <w:szCs w:val="20"/>
              </w:rPr>
              <w:t xml:space="preserve"> the fair value</w:t>
            </w:r>
            <w:r w:rsidRPr="00C711B0">
              <w:rPr>
                <w:rFonts w:ascii="Arial" w:hAnsi="Arial" w:cs="Arial"/>
                <w:color w:val="000000" w:themeColor="text1"/>
                <w:spacing w:val="-6"/>
                <w:sz w:val="20"/>
                <w:szCs w:val="20"/>
              </w:rPr>
              <w:t xml:space="preserve">. </w:t>
            </w:r>
          </w:p>
          <w:p w14:paraId="4D92C2D3" w14:textId="11919F4D" w:rsidR="00210672" w:rsidRPr="00210672" w:rsidRDefault="00210672" w:rsidP="00210672">
            <w:pPr>
              <w:pStyle w:val="ListParagraph"/>
              <w:tabs>
                <w:tab w:val="left" w:pos="2892"/>
              </w:tabs>
              <w:spacing w:before="120"/>
              <w:ind w:left="284"/>
              <w:contextualSpacing w:val="0"/>
              <w:jc w:val="both"/>
              <w:rPr>
                <w:rFonts w:ascii="Arial" w:hAnsi="Arial" w:cs="Arial"/>
                <w:color w:val="000000" w:themeColor="text1"/>
                <w:spacing w:val="-4"/>
                <w:sz w:val="20"/>
                <w:szCs w:val="20"/>
              </w:rPr>
            </w:pPr>
          </w:p>
        </w:tc>
        <w:tc>
          <w:tcPr>
            <w:tcW w:w="4680" w:type="dxa"/>
            <w:shd w:val="clear" w:color="auto" w:fill="FAFAFA"/>
          </w:tcPr>
          <w:p w14:paraId="3EA06CC1" w14:textId="10B1AFC4" w:rsidR="00210672" w:rsidRPr="00912349" w:rsidRDefault="00210672" w:rsidP="00210672">
            <w:pPr>
              <w:jc w:val="both"/>
              <w:rPr>
                <w:rFonts w:ascii="Arial" w:eastAsia="Times New Roman" w:hAnsi="Arial" w:cs="Arial"/>
                <w:color w:val="000000" w:themeColor="text1"/>
                <w:sz w:val="20"/>
                <w:szCs w:val="20"/>
                <w:lang w:eastAsia="en-GB"/>
              </w:rPr>
            </w:pPr>
            <w:r w:rsidRPr="00911CDD">
              <w:rPr>
                <w:rFonts w:ascii="Arial" w:eastAsia="Times New Roman" w:hAnsi="Arial" w:cs="Arial"/>
                <w:color w:val="000000" w:themeColor="text1"/>
                <w:spacing w:val="-4"/>
                <w:sz w:val="20"/>
                <w:szCs w:val="20"/>
                <w:lang w:eastAsia="en-GB"/>
              </w:rPr>
              <w:lastRenderedPageBreak/>
              <w:t>I carried out the following audit procedures to assess</w:t>
            </w:r>
            <w:r w:rsidRPr="00912349">
              <w:rPr>
                <w:rFonts w:ascii="Arial" w:eastAsia="Times New Roman" w:hAnsi="Arial" w:cs="Arial"/>
                <w:color w:val="000000" w:themeColor="text1"/>
                <w:sz w:val="20"/>
                <w:szCs w:val="20"/>
                <w:lang w:eastAsia="en-GB"/>
              </w:rPr>
              <w:t xml:space="preserve"> the management’s classification and measurement of the fair value of the net identifiable assets arising from an </w:t>
            </w:r>
            <w:r w:rsidR="00C711B0">
              <w:rPr>
                <w:rFonts w:ascii="Arial" w:eastAsia="Times New Roman" w:hAnsi="Arial" w:cs="Arial"/>
                <w:color w:val="000000" w:themeColor="text1"/>
                <w:sz w:val="20"/>
                <w:szCs w:val="20"/>
                <w:lang w:eastAsia="en-GB"/>
              </w:rPr>
              <w:t xml:space="preserve">acquisition of </w:t>
            </w:r>
            <w:r w:rsidRPr="00912349">
              <w:rPr>
                <w:rFonts w:ascii="Arial" w:eastAsia="Times New Roman" w:hAnsi="Arial" w:cs="Arial"/>
                <w:color w:val="000000" w:themeColor="text1"/>
                <w:sz w:val="20"/>
                <w:szCs w:val="20"/>
                <w:lang w:eastAsia="en-GB"/>
              </w:rPr>
              <w:t>investment in an associate</w:t>
            </w:r>
            <w:r>
              <w:rPr>
                <w:rFonts w:ascii="Arial" w:eastAsia="Times New Roman" w:hAnsi="Arial" w:cs="Arial"/>
                <w:color w:val="000000" w:themeColor="text1"/>
                <w:sz w:val="20"/>
                <w:szCs w:val="20"/>
                <w:lang w:eastAsia="en-GB"/>
              </w:rPr>
              <w:t>.</w:t>
            </w:r>
          </w:p>
          <w:p w14:paraId="2B78FE95" w14:textId="26149519" w:rsidR="00210672" w:rsidRPr="00912349" w:rsidRDefault="00210672" w:rsidP="00210672">
            <w:pPr>
              <w:pStyle w:val="ListParagraph"/>
              <w:numPr>
                <w:ilvl w:val="0"/>
                <w:numId w:val="8"/>
              </w:numPr>
              <w:spacing w:before="120"/>
              <w:ind w:left="284" w:hanging="284"/>
              <w:contextualSpacing w:val="0"/>
              <w:jc w:val="both"/>
              <w:rPr>
                <w:rFonts w:ascii="Arial" w:eastAsia="Times New Roman" w:hAnsi="Arial" w:cs="Arial"/>
                <w:color w:val="000000" w:themeColor="text1"/>
                <w:sz w:val="20"/>
                <w:szCs w:val="20"/>
                <w:lang w:eastAsia="en-GB"/>
              </w:rPr>
            </w:pPr>
            <w:r>
              <w:rPr>
                <w:rFonts w:ascii="Arial" w:eastAsia="Times New Roman" w:hAnsi="Arial" w:cs="Arial"/>
                <w:color w:val="000000" w:themeColor="text1"/>
                <w:sz w:val="20"/>
                <w:szCs w:val="20"/>
                <w:lang w:eastAsia="en-GB"/>
              </w:rPr>
              <w:t>R</w:t>
            </w:r>
            <w:r w:rsidRPr="00912349">
              <w:rPr>
                <w:rFonts w:ascii="Arial" w:eastAsia="Times New Roman" w:hAnsi="Arial" w:cs="Arial"/>
                <w:color w:val="000000" w:themeColor="text1"/>
                <w:sz w:val="20"/>
                <w:szCs w:val="20"/>
                <w:lang w:eastAsia="en-GB"/>
              </w:rPr>
              <w:t xml:space="preserve">ead the purchase and sale agreements to understand the key terms and </w:t>
            </w:r>
            <w:proofErr w:type="gramStart"/>
            <w:r w:rsidRPr="00912349">
              <w:rPr>
                <w:rFonts w:ascii="Arial" w:eastAsia="Times New Roman" w:hAnsi="Arial" w:cs="Arial"/>
                <w:color w:val="000000" w:themeColor="text1"/>
                <w:sz w:val="20"/>
                <w:szCs w:val="20"/>
                <w:lang w:eastAsia="en-GB"/>
              </w:rPr>
              <w:t>conditions, and</w:t>
            </w:r>
            <w:proofErr w:type="gramEnd"/>
            <w:r w:rsidRPr="00912349">
              <w:rPr>
                <w:rFonts w:ascii="Arial" w:eastAsia="Times New Roman" w:hAnsi="Arial" w:cs="Arial"/>
                <w:color w:val="000000" w:themeColor="text1"/>
                <w:sz w:val="20"/>
                <w:szCs w:val="20"/>
                <w:lang w:eastAsia="en-GB"/>
              </w:rPr>
              <w:t xml:space="preserve"> confirmed my understanding of the transaction with management</w:t>
            </w:r>
            <w:r w:rsidR="00F7138E">
              <w:rPr>
                <w:rFonts w:ascii="Arial" w:eastAsia="Times New Roman" w:hAnsi="Arial" w:cs="Arial"/>
                <w:color w:val="000000" w:themeColor="text1"/>
                <w:sz w:val="20"/>
                <w:szCs w:val="20"/>
                <w:lang w:eastAsia="en-GB"/>
              </w:rPr>
              <w:t>.</w:t>
            </w:r>
          </w:p>
          <w:p w14:paraId="5BCB6521" w14:textId="3AAF6523" w:rsidR="00210672" w:rsidRPr="00912349" w:rsidRDefault="00210672" w:rsidP="00210672">
            <w:pPr>
              <w:pStyle w:val="ListParagraph"/>
              <w:numPr>
                <w:ilvl w:val="0"/>
                <w:numId w:val="8"/>
              </w:numPr>
              <w:spacing w:before="120"/>
              <w:ind w:left="284" w:hanging="284"/>
              <w:contextualSpacing w:val="0"/>
              <w:jc w:val="both"/>
              <w:rPr>
                <w:rFonts w:ascii="Arial" w:eastAsia="Times New Roman" w:hAnsi="Arial" w:cs="Arial"/>
                <w:color w:val="000000" w:themeColor="text1"/>
                <w:sz w:val="20"/>
                <w:szCs w:val="20"/>
                <w:lang w:eastAsia="en-GB"/>
              </w:rPr>
            </w:pPr>
            <w:r>
              <w:rPr>
                <w:rFonts w:ascii="Arial" w:eastAsia="Times New Roman" w:hAnsi="Arial" w:cs="Arial"/>
                <w:color w:val="000000" w:themeColor="text1"/>
                <w:sz w:val="20"/>
                <w:szCs w:val="20"/>
                <w:lang w:eastAsia="en-GB"/>
              </w:rPr>
              <w:t>A</w:t>
            </w:r>
            <w:r w:rsidRPr="00912349">
              <w:rPr>
                <w:rFonts w:ascii="Arial" w:eastAsia="Times New Roman" w:hAnsi="Arial" w:cs="Arial"/>
                <w:color w:val="000000" w:themeColor="text1"/>
                <w:sz w:val="20"/>
                <w:szCs w:val="20"/>
                <w:lang w:eastAsia="en-GB"/>
              </w:rPr>
              <w:t>ssessed</w:t>
            </w:r>
            <w:r w:rsidR="00657C8B">
              <w:rPr>
                <w:rFonts w:ascii="Arial" w:eastAsia="Times New Roman" w:hAnsi="Arial" w:cs="Arial"/>
                <w:color w:val="000000" w:themeColor="text1"/>
                <w:sz w:val="20"/>
                <w:szCs w:val="20"/>
                <w:lang w:eastAsia="en-GB"/>
              </w:rPr>
              <w:t xml:space="preserve"> the accounting of</w:t>
            </w:r>
            <w:r w:rsidR="00A70770">
              <w:rPr>
                <w:rFonts w:ascii="Arial" w:eastAsia="Times New Roman" w:hAnsi="Arial" w:cs="Arial"/>
                <w:color w:val="000000" w:themeColor="text1"/>
                <w:sz w:val="20"/>
                <w:szCs w:val="20"/>
                <w:lang w:eastAsia="en-GB"/>
              </w:rPr>
              <w:t xml:space="preserve"> </w:t>
            </w:r>
            <w:r w:rsidRPr="00912349">
              <w:rPr>
                <w:rFonts w:ascii="Arial" w:eastAsia="Times New Roman" w:hAnsi="Arial" w:cs="Arial"/>
                <w:color w:val="000000" w:themeColor="text1"/>
                <w:sz w:val="20"/>
                <w:szCs w:val="20"/>
                <w:lang w:eastAsia="en-GB"/>
              </w:rPr>
              <w:t xml:space="preserve">management's </w:t>
            </w:r>
            <w:r w:rsidR="00A70770">
              <w:rPr>
                <w:rFonts w:ascii="Arial" w:eastAsia="Times New Roman" w:hAnsi="Arial" w:cs="Arial"/>
                <w:color w:val="000000" w:themeColor="text1"/>
                <w:sz w:val="20"/>
                <w:szCs w:val="20"/>
                <w:lang w:eastAsia="en-GB"/>
              </w:rPr>
              <w:t xml:space="preserve">consideration to determine </w:t>
            </w:r>
            <w:proofErr w:type="gramStart"/>
            <w:r w:rsidR="00A70770">
              <w:rPr>
                <w:rFonts w:ascii="Arial" w:eastAsia="Times New Roman" w:hAnsi="Arial" w:cs="Arial"/>
                <w:color w:val="000000" w:themeColor="text1"/>
                <w:sz w:val="20"/>
                <w:szCs w:val="20"/>
                <w:lang w:eastAsia="en-GB"/>
              </w:rPr>
              <w:t>this</w:t>
            </w:r>
            <w:r w:rsidRPr="00912349">
              <w:rPr>
                <w:rFonts w:ascii="Arial" w:eastAsia="Times New Roman" w:hAnsi="Arial" w:cs="Arial"/>
                <w:color w:val="000000" w:themeColor="text1"/>
                <w:sz w:val="20"/>
                <w:szCs w:val="20"/>
                <w:lang w:eastAsia="en-GB"/>
              </w:rPr>
              <w:t xml:space="preserve">  acquisition</w:t>
            </w:r>
            <w:proofErr w:type="gramEnd"/>
            <w:r w:rsidRPr="00912349">
              <w:rPr>
                <w:rFonts w:ascii="Arial" w:eastAsia="Times New Roman" w:hAnsi="Arial" w:cs="Arial"/>
                <w:color w:val="000000" w:themeColor="text1"/>
                <w:sz w:val="20"/>
                <w:szCs w:val="20"/>
                <w:lang w:eastAsia="en-GB"/>
              </w:rPr>
              <w:t xml:space="preserve"> as </w:t>
            </w:r>
            <w:r w:rsidR="00F7138E">
              <w:rPr>
                <w:rFonts w:ascii="Arial" w:eastAsia="Times New Roman" w:hAnsi="Arial" w:cs="Arial"/>
                <w:color w:val="000000" w:themeColor="text1"/>
                <w:sz w:val="20"/>
                <w:szCs w:val="20"/>
                <w:lang w:eastAsia="en-GB"/>
              </w:rPr>
              <w:t xml:space="preserve">an investment in </w:t>
            </w:r>
            <w:r w:rsidRPr="00912349">
              <w:rPr>
                <w:rFonts w:ascii="Arial" w:eastAsia="Times New Roman" w:hAnsi="Arial" w:cs="Arial"/>
                <w:color w:val="000000" w:themeColor="text1"/>
                <w:sz w:val="20"/>
                <w:szCs w:val="20"/>
                <w:lang w:eastAsia="en-GB"/>
              </w:rPr>
              <w:t>an associate</w:t>
            </w:r>
            <w:r w:rsidR="005D02E2">
              <w:rPr>
                <w:rFonts w:ascii="Arial" w:eastAsia="Times New Roman" w:hAnsi="Arial" w:cs="Arial"/>
                <w:color w:val="000000" w:themeColor="text1"/>
                <w:sz w:val="20"/>
                <w:szCs w:val="20"/>
                <w:lang w:eastAsia="en-GB"/>
              </w:rPr>
              <w:t>.</w:t>
            </w:r>
          </w:p>
          <w:p w14:paraId="24F39C60" w14:textId="55F63558" w:rsidR="00210672" w:rsidRPr="00C711B0" w:rsidRDefault="00210672" w:rsidP="00210672">
            <w:pPr>
              <w:pStyle w:val="ListParagraph"/>
              <w:numPr>
                <w:ilvl w:val="0"/>
                <w:numId w:val="8"/>
              </w:numPr>
              <w:spacing w:before="120"/>
              <w:ind w:left="284" w:hanging="284"/>
              <w:contextualSpacing w:val="0"/>
              <w:jc w:val="both"/>
              <w:rPr>
                <w:rFonts w:ascii="Arial" w:eastAsia="Times New Roman" w:hAnsi="Arial" w:cs="Arial"/>
                <w:color w:val="000000" w:themeColor="text1"/>
                <w:spacing w:val="-2"/>
                <w:sz w:val="20"/>
                <w:szCs w:val="20"/>
                <w:lang w:eastAsia="en-GB"/>
              </w:rPr>
            </w:pPr>
            <w:r w:rsidRPr="00C711B0">
              <w:rPr>
                <w:rFonts w:ascii="Arial" w:eastAsia="Times New Roman" w:hAnsi="Arial" w:cs="Arial"/>
                <w:color w:val="000000" w:themeColor="text1"/>
                <w:spacing w:val="-2"/>
                <w:sz w:val="20"/>
                <w:szCs w:val="20"/>
                <w:lang w:eastAsia="en-GB"/>
              </w:rPr>
              <w:t xml:space="preserve">Assessed the appropriateness of the identifiable assets </w:t>
            </w:r>
            <w:r w:rsidR="00F7138E">
              <w:rPr>
                <w:rFonts w:ascii="Arial" w:eastAsia="Times New Roman" w:hAnsi="Arial" w:cs="Arial"/>
                <w:color w:val="000000" w:themeColor="text1"/>
                <w:spacing w:val="-2"/>
                <w:sz w:val="20"/>
                <w:szCs w:val="20"/>
                <w:lang w:eastAsia="en-GB"/>
              </w:rPr>
              <w:t xml:space="preserve">acquired </w:t>
            </w:r>
            <w:r w:rsidRPr="00C711B0">
              <w:rPr>
                <w:rFonts w:ascii="Arial" w:eastAsia="Times New Roman" w:hAnsi="Arial" w:cs="Arial"/>
                <w:color w:val="000000" w:themeColor="text1"/>
                <w:spacing w:val="-2"/>
                <w:sz w:val="20"/>
                <w:szCs w:val="20"/>
                <w:lang w:eastAsia="en-GB"/>
              </w:rPr>
              <w:t xml:space="preserve">and liabilities assumed as at the acquisition </w:t>
            </w:r>
            <w:proofErr w:type="gramStart"/>
            <w:r w:rsidRPr="00C711B0">
              <w:rPr>
                <w:rFonts w:ascii="Arial" w:eastAsia="Times New Roman" w:hAnsi="Arial" w:cs="Arial"/>
                <w:color w:val="000000" w:themeColor="text1"/>
                <w:spacing w:val="-2"/>
                <w:sz w:val="20"/>
                <w:szCs w:val="20"/>
                <w:lang w:eastAsia="en-GB"/>
              </w:rPr>
              <w:t>date,</w:t>
            </w:r>
            <w:r w:rsidR="00A70770">
              <w:rPr>
                <w:rFonts w:ascii="Arial" w:eastAsia="Times New Roman" w:hAnsi="Arial" w:cs="Arial"/>
                <w:color w:val="000000" w:themeColor="text1"/>
                <w:spacing w:val="-2"/>
                <w:sz w:val="20"/>
                <w:szCs w:val="20"/>
                <w:lang w:eastAsia="en-GB"/>
              </w:rPr>
              <w:t xml:space="preserve"> </w:t>
            </w:r>
            <w:r w:rsidRPr="00C711B0">
              <w:rPr>
                <w:rFonts w:ascii="Arial" w:eastAsia="Times New Roman" w:hAnsi="Arial" w:cs="Arial"/>
                <w:color w:val="000000" w:themeColor="text1"/>
                <w:spacing w:val="-2"/>
                <w:sz w:val="20"/>
                <w:szCs w:val="20"/>
                <w:lang w:eastAsia="en-GB"/>
              </w:rPr>
              <w:t>and</w:t>
            </w:r>
            <w:proofErr w:type="gramEnd"/>
            <w:r w:rsidRPr="00C711B0">
              <w:rPr>
                <w:rFonts w:ascii="Arial" w:eastAsia="Times New Roman" w:hAnsi="Arial" w:cs="Arial"/>
                <w:color w:val="000000" w:themeColor="text1"/>
                <w:spacing w:val="-2"/>
                <w:sz w:val="20"/>
                <w:szCs w:val="20"/>
                <w:lang w:eastAsia="en-GB"/>
              </w:rPr>
              <w:t xml:space="preserve"> evaluated management’s procedures </w:t>
            </w:r>
            <w:r w:rsidR="005D02E2">
              <w:rPr>
                <w:rFonts w:ascii="Arial" w:eastAsia="Times New Roman" w:hAnsi="Arial" w:cs="Arial"/>
                <w:color w:val="000000" w:themeColor="text1"/>
                <w:spacing w:val="-2"/>
                <w:sz w:val="20"/>
                <w:szCs w:val="20"/>
                <w:lang w:eastAsia="en-GB"/>
              </w:rPr>
              <w:t>in</w:t>
            </w:r>
            <w:r w:rsidRPr="00C711B0">
              <w:rPr>
                <w:rFonts w:ascii="Arial" w:eastAsia="Times New Roman" w:hAnsi="Arial" w:cs="Arial"/>
                <w:color w:val="000000" w:themeColor="text1"/>
                <w:spacing w:val="-2"/>
                <w:sz w:val="20"/>
                <w:szCs w:val="20"/>
                <w:lang w:eastAsia="en-GB"/>
              </w:rPr>
              <w:t xml:space="preserve"> determining the fair values of the net identifiable assets acquired</w:t>
            </w:r>
            <w:r w:rsidR="005D02E2">
              <w:rPr>
                <w:rFonts w:ascii="Arial" w:eastAsia="Times New Roman" w:hAnsi="Arial" w:cs="Arial"/>
                <w:color w:val="000000" w:themeColor="text1"/>
                <w:spacing w:val="-2"/>
                <w:sz w:val="20"/>
                <w:szCs w:val="20"/>
                <w:lang w:eastAsia="en-GB"/>
              </w:rPr>
              <w:t>.</w:t>
            </w:r>
          </w:p>
          <w:p w14:paraId="30C2CC3E" w14:textId="02DFCF7B" w:rsidR="00210672" w:rsidRPr="002358BD" w:rsidRDefault="005D02E2" w:rsidP="00210672">
            <w:pPr>
              <w:pStyle w:val="ListParagraph"/>
              <w:numPr>
                <w:ilvl w:val="0"/>
                <w:numId w:val="8"/>
              </w:numPr>
              <w:spacing w:before="120"/>
              <w:ind w:left="284" w:hanging="284"/>
              <w:contextualSpacing w:val="0"/>
              <w:jc w:val="both"/>
              <w:rPr>
                <w:rFonts w:ascii="Arial" w:eastAsia="Times New Roman" w:hAnsi="Arial" w:cs="Arial"/>
                <w:color w:val="000000" w:themeColor="text1"/>
                <w:sz w:val="20"/>
                <w:szCs w:val="20"/>
                <w:lang w:eastAsia="en-GB"/>
              </w:rPr>
            </w:pPr>
            <w:r w:rsidRPr="002358BD">
              <w:rPr>
                <w:rFonts w:ascii="Arial" w:eastAsia="Times New Roman" w:hAnsi="Arial" w:cs="Arial"/>
                <w:color w:val="000000" w:themeColor="text1"/>
                <w:sz w:val="20"/>
                <w:szCs w:val="20"/>
                <w:lang w:eastAsia="en-GB"/>
              </w:rPr>
              <w:t>Discussed and understood</w:t>
            </w:r>
            <w:r w:rsidR="00210672" w:rsidRPr="002358BD">
              <w:rPr>
                <w:rFonts w:ascii="Arial" w:eastAsia="Times New Roman" w:hAnsi="Arial" w:cs="Arial"/>
                <w:color w:val="000000" w:themeColor="text1"/>
                <w:sz w:val="20"/>
                <w:szCs w:val="20"/>
                <w:lang w:eastAsia="en-GB"/>
              </w:rPr>
              <w:t xml:space="preserve"> the detail of the share purchase agreements with management, </w:t>
            </w:r>
            <w:r w:rsidR="00210672" w:rsidRPr="004F3ABD">
              <w:rPr>
                <w:rFonts w:ascii="Arial" w:eastAsia="Times New Roman" w:hAnsi="Arial" w:cs="Arial"/>
                <w:color w:val="000000" w:themeColor="text1"/>
                <w:spacing w:val="-6"/>
                <w:sz w:val="20"/>
                <w:szCs w:val="20"/>
                <w:lang w:eastAsia="en-GB"/>
              </w:rPr>
              <w:t xml:space="preserve">including the conditions </w:t>
            </w:r>
            <w:r w:rsidRPr="004F3ABD">
              <w:rPr>
                <w:rFonts w:ascii="Arial" w:eastAsia="Times New Roman" w:hAnsi="Arial" w:cs="Arial"/>
                <w:color w:val="000000" w:themeColor="text1"/>
                <w:spacing w:val="-6"/>
                <w:sz w:val="20"/>
                <w:szCs w:val="20"/>
                <w:lang w:eastAsia="en-GB"/>
              </w:rPr>
              <w:t>for</w:t>
            </w:r>
            <w:r w:rsidR="00210672" w:rsidRPr="004F3ABD">
              <w:rPr>
                <w:rFonts w:ascii="Arial" w:eastAsia="Times New Roman" w:hAnsi="Arial" w:cs="Arial"/>
                <w:color w:val="000000" w:themeColor="text1"/>
                <w:spacing w:val="-6"/>
                <w:sz w:val="20"/>
                <w:szCs w:val="20"/>
                <w:lang w:eastAsia="en-GB"/>
              </w:rPr>
              <w:t xml:space="preserve"> acquiring the additional</w:t>
            </w:r>
            <w:r w:rsidR="00210672" w:rsidRPr="002358BD">
              <w:rPr>
                <w:rFonts w:ascii="Arial" w:eastAsia="Times New Roman" w:hAnsi="Arial" w:cs="Arial"/>
                <w:color w:val="000000" w:themeColor="text1"/>
                <w:sz w:val="20"/>
                <w:szCs w:val="20"/>
                <w:lang w:eastAsia="en-GB"/>
              </w:rPr>
              <w:t xml:space="preserve"> </w:t>
            </w:r>
            <w:r w:rsidR="00210672" w:rsidRPr="004F3ABD">
              <w:rPr>
                <w:rFonts w:ascii="Arial" w:eastAsia="Times New Roman" w:hAnsi="Arial" w:cs="Arial"/>
                <w:color w:val="000000" w:themeColor="text1"/>
                <w:spacing w:val="-6"/>
                <w:sz w:val="20"/>
                <w:szCs w:val="20"/>
                <w:lang w:eastAsia="en-GB"/>
              </w:rPr>
              <w:t>shares, to understand management’s assumptions</w:t>
            </w:r>
            <w:r w:rsidR="00210672" w:rsidRPr="004218B7">
              <w:rPr>
                <w:rFonts w:ascii="Arial" w:eastAsia="Times New Roman" w:hAnsi="Arial" w:cs="Arial"/>
                <w:color w:val="000000" w:themeColor="text1"/>
                <w:sz w:val="20"/>
                <w:szCs w:val="20"/>
                <w:lang w:eastAsia="en-GB"/>
              </w:rPr>
              <w:t xml:space="preserve"> in measuring the contingent consideration</w:t>
            </w:r>
            <w:r w:rsidR="00210672" w:rsidRPr="004218B7">
              <w:rPr>
                <w:rFonts w:ascii="Arial" w:eastAsia="Times New Roman" w:hAnsi="Arial" w:cs="Arial"/>
                <w:color w:val="000000" w:themeColor="text1"/>
                <w:spacing w:val="-6"/>
                <w:sz w:val="20"/>
                <w:szCs w:val="20"/>
                <w:lang w:eastAsia="en-GB"/>
              </w:rPr>
              <w:t>,</w:t>
            </w:r>
            <w:r w:rsidR="00210672" w:rsidRPr="002358BD">
              <w:rPr>
                <w:rFonts w:ascii="Arial" w:eastAsia="Times New Roman" w:hAnsi="Arial" w:cs="Arial"/>
                <w:color w:val="000000" w:themeColor="text1"/>
                <w:sz w:val="20"/>
                <w:szCs w:val="20"/>
                <w:lang w:eastAsia="en-GB"/>
              </w:rPr>
              <w:t xml:space="preserve"> and </w:t>
            </w:r>
            <w:r w:rsidR="00210672" w:rsidRPr="004F3ABD">
              <w:rPr>
                <w:rFonts w:ascii="Arial" w:eastAsia="Times New Roman" w:hAnsi="Arial" w:cs="Arial"/>
                <w:color w:val="000000" w:themeColor="text1"/>
                <w:spacing w:val="-8"/>
                <w:sz w:val="20"/>
                <w:szCs w:val="20"/>
                <w:lang w:eastAsia="en-GB"/>
              </w:rPr>
              <w:t>assessed management’s judgements of the probability</w:t>
            </w:r>
            <w:r w:rsidR="00210672" w:rsidRPr="002358BD">
              <w:rPr>
                <w:rFonts w:ascii="Arial" w:eastAsia="Times New Roman" w:hAnsi="Arial" w:cs="Arial"/>
                <w:color w:val="000000" w:themeColor="text1"/>
                <w:sz w:val="20"/>
                <w:szCs w:val="20"/>
                <w:lang w:eastAsia="en-GB"/>
              </w:rPr>
              <w:t xml:space="preserve"> of the approval for the final investment decision on the acquisition date</w:t>
            </w:r>
            <w:r w:rsidRPr="002358BD">
              <w:rPr>
                <w:rFonts w:ascii="Arial" w:eastAsia="Times New Roman" w:hAnsi="Arial" w:cs="Arial"/>
                <w:color w:val="000000" w:themeColor="text1"/>
                <w:sz w:val="20"/>
                <w:szCs w:val="20"/>
                <w:lang w:eastAsia="en-GB"/>
              </w:rPr>
              <w:t>.</w:t>
            </w:r>
          </w:p>
          <w:p w14:paraId="3C22374C" w14:textId="11C924EF" w:rsidR="00210672" w:rsidRPr="00912349" w:rsidRDefault="00210672" w:rsidP="00210672">
            <w:pPr>
              <w:pStyle w:val="ListParagraph"/>
              <w:numPr>
                <w:ilvl w:val="0"/>
                <w:numId w:val="8"/>
              </w:numPr>
              <w:spacing w:before="120"/>
              <w:ind w:left="284" w:hanging="284"/>
              <w:contextualSpacing w:val="0"/>
              <w:jc w:val="both"/>
              <w:rPr>
                <w:rFonts w:ascii="Arial" w:eastAsia="Times New Roman" w:hAnsi="Arial" w:cs="Arial"/>
                <w:color w:val="000000" w:themeColor="text1"/>
                <w:sz w:val="20"/>
                <w:szCs w:val="20"/>
                <w:lang w:eastAsia="en-GB"/>
              </w:rPr>
            </w:pPr>
            <w:r>
              <w:rPr>
                <w:rFonts w:ascii="Arial" w:eastAsia="Times New Roman" w:hAnsi="Arial" w:cs="Arial"/>
                <w:color w:val="000000" w:themeColor="text1"/>
                <w:sz w:val="20"/>
                <w:szCs w:val="20"/>
                <w:lang w:eastAsia="en-GB"/>
              </w:rPr>
              <w:t>E</w:t>
            </w:r>
            <w:r w:rsidRPr="00912349">
              <w:rPr>
                <w:rFonts w:ascii="Arial" w:eastAsia="Times New Roman" w:hAnsi="Arial" w:cs="Arial"/>
                <w:color w:val="000000" w:themeColor="text1"/>
                <w:sz w:val="20"/>
                <w:szCs w:val="20"/>
                <w:lang w:eastAsia="en-GB"/>
              </w:rPr>
              <w:t xml:space="preserve">valuated the competency, </w:t>
            </w:r>
            <w:proofErr w:type="gramStart"/>
            <w:r w:rsidRPr="00912349">
              <w:rPr>
                <w:rFonts w:ascii="Arial" w:eastAsia="Times New Roman" w:hAnsi="Arial" w:cs="Arial"/>
                <w:color w:val="000000" w:themeColor="text1"/>
                <w:sz w:val="20"/>
                <w:szCs w:val="20"/>
                <w:lang w:eastAsia="en-GB"/>
              </w:rPr>
              <w:t>qualifications</w:t>
            </w:r>
            <w:proofErr w:type="gramEnd"/>
            <w:r w:rsidRPr="00912349">
              <w:rPr>
                <w:rFonts w:ascii="Arial" w:eastAsia="Times New Roman" w:hAnsi="Arial" w:cs="Arial"/>
                <w:color w:val="000000" w:themeColor="text1"/>
                <w:sz w:val="20"/>
                <w:szCs w:val="20"/>
                <w:lang w:eastAsia="en-GB"/>
              </w:rPr>
              <w:t xml:space="preserve"> and experience of management’s experts</w:t>
            </w:r>
            <w:r w:rsidR="004F3ABD">
              <w:rPr>
                <w:rFonts w:ascii="Arial" w:eastAsia="Times New Roman" w:hAnsi="Arial" w:cs="Arial"/>
                <w:color w:val="000000" w:themeColor="text1"/>
                <w:sz w:val="20"/>
                <w:szCs w:val="20"/>
                <w:lang w:eastAsia="en-GB"/>
              </w:rPr>
              <w:t>.</w:t>
            </w:r>
          </w:p>
          <w:p w14:paraId="07B0311C" w14:textId="75C7B89E" w:rsidR="00210672" w:rsidRPr="005A6238" w:rsidRDefault="00210672" w:rsidP="00210672">
            <w:pPr>
              <w:pStyle w:val="ListParagraph"/>
              <w:numPr>
                <w:ilvl w:val="0"/>
                <w:numId w:val="8"/>
              </w:numPr>
              <w:spacing w:before="120"/>
              <w:ind w:left="284" w:hanging="284"/>
              <w:contextualSpacing w:val="0"/>
              <w:jc w:val="both"/>
              <w:rPr>
                <w:rFonts w:ascii="Arial" w:eastAsia="Times New Roman" w:hAnsi="Arial" w:cs="Arial"/>
                <w:color w:val="000000" w:themeColor="text1"/>
                <w:sz w:val="20"/>
                <w:szCs w:val="20"/>
                <w:lang w:eastAsia="en-GB"/>
              </w:rPr>
            </w:pPr>
            <w:r w:rsidRPr="005A6238">
              <w:rPr>
                <w:rFonts w:ascii="Arial" w:eastAsia="Times New Roman" w:hAnsi="Arial" w:cs="Arial"/>
                <w:color w:val="000000" w:themeColor="text1"/>
                <w:sz w:val="20"/>
                <w:szCs w:val="20"/>
                <w:lang w:eastAsia="en-GB"/>
              </w:rPr>
              <w:t xml:space="preserve">Tested the </w:t>
            </w:r>
            <w:r w:rsidR="004F3ABD" w:rsidRPr="005A6238">
              <w:rPr>
                <w:rFonts w:ascii="Arial" w:eastAsia="Times New Roman" w:hAnsi="Arial" w:cs="Arial"/>
                <w:color w:val="000000" w:themeColor="text1"/>
                <w:sz w:val="20"/>
                <w:szCs w:val="20"/>
                <w:lang w:eastAsia="en-GB"/>
              </w:rPr>
              <w:t>math</w:t>
            </w:r>
            <w:r w:rsidR="004F3ABD" w:rsidRPr="005A6238">
              <w:rPr>
                <w:rFonts w:ascii="Arial" w:eastAsia="Times New Roman" w:hAnsi="Arial" w:cs="Browallia New"/>
                <w:color w:val="000000" w:themeColor="text1"/>
                <w:sz w:val="20"/>
                <w:szCs w:val="25"/>
                <w:lang w:eastAsia="en-GB"/>
              </w:rPr>
              <w:t>e</w:t>
            </w:r>
            <w:r w:rsidR="004F3ABD" w:rsidRPr="005A6238">
              <w:rPr>
                <w:rFonts w:ascii="Arial" w:eastAsia="Times New Roman" w:hAnsi="Arial" w:cs="Arial"/>
                <w:color w:val="000000" w:themeColor="text1"/>
                <w:sz w:val="20"/>
                <w:szCs w:val="20"/>
                <w:lang w:eastAsia="en-GB"/>
              </w:rPr>
              <w:t xml:space="preserve">matical </w:t>
            </w:r>
            <w:r w:rsidRPr="005A6238">
              <w:rPr>
                <w:rFonts w:ascii="Arial" w:eastAsia="Times New Roman" w:hAnsi="Arial" w:cs="Arial"/>
                <w:color w:val="000000" w:themeColor="text1"/>
                <w:sz w:val="20"/>
                <w:szCs w:val="20"/>
                <w:lang w:eastAsia="en-GB"/>
              </w:rPr>
              <w:t>calculat</w:t>
            </w:r>
            <w:r w:rsidR="004F3ABD" w:rsidRPr="005A6238">
              <w:rPr>
                <w:rFonts w:ascii="Arial" w:eastAsia="Times New Roman" w:hAnsi="Arial" w:cs="Arial"/>
                <w:color w:val="000000" w:themeColor="text1"/>
                <w:sz w:val="20"/>
                <w:szCs w:val="20"/>
                <w:lang w:eastAsia="en-GB"/>
              </w:rPr>
              <w:t>ion</w:t>
            </w:r>
            <w:r w:rsidRPr="005A6238">
              <w:rPr>
                <w:rFonts w:ascii="Arial" w:eastAsia="Times New Roman" w:hAnsi="Arial" w:cs="Arial"/>
                <w:color w:val="000000" w:themeColor="text1"/>
                <w:sz w:val="20"/>
                <w:szCs w:val="20"/>
                <w:lang w:eastAsia="en-GB"/>
              </w:rPr>
              <w:t xml:space="preserve"> </w:t>
            </w:r>
            <w:r w:rsidR="004F3ABD" w:rsidRPr="005A6238">
              <w:rPr>
                <w:rFonts w:ascii="Arial" w:eastAsia="Times New Roman" w:hAnsi="Arial" w:cs="Arial"/>
                <w:color w:val="000000" w:themeColor="text1"/>
                <w:sz w:val="20"/>
                <w:szCs w:val="20"/>
                <w:lang w:eastAsia="en-GB"/>
              </w:rPr>
              <w:t xml:space="preserve">of </w:t>
            </w:r>
            <w:r w:rsidRPr="005A6238">
              <w:rPr>
                <w:rFonts w:ascii="Arial" w:eastAsia="Times New Roman" w:hAnsi="Arial" w:cs="Arial"/>
                <w:color w:val="000000" w:themeColor="text1"/>
                <w:sz w:val="20"/>
                <w:szCs w:val="20"/>
                <w:lang w:eastAsia="en-GB"/>
              </w:rPr>
              <w:t>fair value of the net identifiable assets</w:t>
            </w:r>
            <w:r w:rsidR="00117DF7" w:rsidRPr="005A6238">
              <w:rPr>
                <w:rFonts w:ascii="Arial" w:eastAsia="Times New Roman" w:hAnsi="Arial" w:cs="Arial"/>
                <w:color w:val="000000" w:themeColor="text1"/>
                <w:sz w:val="20"/>
                <w:szCs w:val="20"/>
                <w:lang w:eastAsia="en-GB"/>
              </w:rPr>
              <w:t xml:space="preserve"> and the purchase price over net assets acquired;</w:t>
            </w:r>
            <w:r w:rsidRPr="005A6238">
              <w:rPr>
                <w:rFonts w:ascii="Arial" w:eastAsia="Times New Roman" w:hAnsi="Arial" w:cs="Arial"/>
                <w:color w:val="000000" w:themeColor="text1"/>
                <w:sz w:val="20"/>
                <w:szCs w:val="20"/>
                <w:lang w:eastAsia="en-GB"/>
              </w:rPr>
              <w:t xml:space="preserve"> and </w:t>
            </w:r>
            <w:r w:rsidRPr="005A6238">
              <w:rPr>
                <w:rFonts w:ascii="Arial" w:eastAsia="Times New Roman" w:hAnsi="Arial" w:cs="Arial"/>
                <w:color w:val="000000" w:themeColor="text1"/>
                <w:spacing w:val="-8"/>
                <w:sz w:val="20"/>
                <w:szCs w:val="20"/>
                <w:lang w:eastAsia="en-GB"/>
              </w:rPr>
              <w:t>challenged management</w:t>
            </w:r>
            <w:r w:rsidR="004F3ABD" w:rsidRPr="005A6238">
              <w:rPr>
                <w:rFonts w:ascii="Arial" w:eastAsia="Times New Roman" w:hAnsi="Arial" w:cs="Arial"/>
                <w:color w:val="000000" w:themeColor="text1"/>
                <w:spacing w:val="-8"/>
                <w:sz w:val="20"/>
                <w:szCs w:val="20"/>
                <w:lang w:eastAsia="en-GB"/>
              </w:rPr>
              <w:t xml:space="preserve"> on</w:t>
            </w:r>
            <w:r w:rsidRPr="005A6238">
              <w:rPr>
                <w:rFonts w:ascii="Arial" w:eastAsia="Times New Roman" w:hAnsi="Arial" w:cs="Arial"/>
                <w:color w:val="000000" w:themeColor="text1"/>
                <w:spacing w:val="-8"/>
                <w:sz w:val="20"/>
                <w:szCs w:val="20"/>
                <w:lang w:eastAsia="en-GB"/>
              </w:rPr>
              <w:t xml:space="preserve"> significant assumptions</w:t>
            </w:r>
            <w:r w:rsidRPr="005A6238">
              <w:rPr>
                <w:rFonts w:ascii="Arial" w:eastAsia="Times New Roman" w:hAnsi="Arial" w:cs="Arial"/>
                <w:color w:val="000000" w:themeColor="text1"/>
                <w:sz w:val="20"/>
                <w:szCs w:val="20"/>
                <w:lang w:eastAsia="en-GB"/>
              </w:rPr>
              <w:t xml:space="preserve"> applied in the estimation of projected cash flows </w:t>
            </w:r>
            <w:r w:rsidRPr="005A6238">
              <w:rPr>
                <w:rFonts w:ascii="Arial" w:eastAsia="Times New Roman" w:hAnsi="Arial" w:cs="Arial"/>
                <w:color w:val="000000" w:themeColor="text1"/>
                <w:spacing w:val="-6"/>
                <w:sz w:val="20"/>
                <w:szCs w:val="20"/>
                <w:lang w:eastAsia="en-GB"/>
              </w:rPr>
              <w:t>by comparing those assumptions to the underlying</w:t>
            </w:r>
            <w:r w:rsidRPr="005A6238">
              <w:rPr>
                <w:rFonts w:ascii="Arial" w:eastAsia="Times New Roman" w:hAnsi="Arial" w:cs="Arial"/>
                <w:color w:val="000000" w:themeColor="text1"/>
                <w:sz w:val="20"/>
                <w:szCs w:val="20"/>
                <w:lang w:eastAsia="en-GB"/>
              </w:rPr>
              <w:t xml:space="preserve"> </w:t>
            </w:r>
            <w:r w:rsidRPr="005A6238">
              <w:rPr>
                <w:rFonts w:ascii="Arial" w:eastAsia="Times New Roman" w:hAnsi="Arial" w:cs="Arial"/>
                <w:color w:val="000000" w:themeColor="text1"/>
                <w:spacing w:val="-8"/>
                <w:sz w:val="20"/>
                <w:szCs w:val="20"/>
                <w:lang w:eastAsia="en-GB"/>
              </w:rPr>
              <w:t>agreements and external sources. The assumptions</w:t>
            </w:r>
            <w:r w:rsidRPr="005A6238">
              <w:rPr>
                <w:rFonts w:ascii="Arial" w:eastAsia="Times New Roman" w:hAnsi="Arial" w:cs="Arial"/>
                <w:color w:val="000000" w:themeColor="text1"/>
                <w:sz w:val="20"/>
                <w:szCs w:val="20"/>
                <w:lang w:eastAsia="en-GB"/>
              </w:rPr>
              <w:t xml:space="preserve"> included the forecasted sales price of the petrochemical products, the refinery capacity, the estimated continuity of the trade period with customers and operating expenditures</w:t>
            </w:r>
            <w:r w:rsidR="00657C8B">
              <w:rPr>
                <w:rFonts w:ascii="Arial" w:eastAsia="Times New Roman" w:hAnsi="Arial" w:cs="Arial"/>
                <w:color w:val="000000" w:themeColor="text1"/>
                <w:sz w:val="20"/>
                <w:szCs w:val="20"/>
                <w:lang w:eastAsia="en-GB"/>
              </w:rPr>
              <w:t>.</w:t>
            </w:r>
            <w:r w:rsidRPr="005A6238">
              <w:rPr>
                <w:rFonts w:ascii="Arial" w:eastAsia="Times New Roman" w:hAnsi="Arial" w:cs="Arial"/>
                <w:color w:val="000000" w:themeColor="text1"/>
                <w:sz w:val="20"/>
                <w:szCs w:val="20"/>
                <w:lang w:eastAsia="en-GB"/>
              </w:rPr>
              <w:t xml:space="preserve"> </w:t>
            </w:r>
          </w:p>
          <w:p w14:paraId="78EE6F50" w14:textId="6C9AAF00" w:rsidR="00C711B0" w:rsidRDefault="00C711B0" w:rsidP="00C711B0">
            <w:pPr>
              <w:spacing w:before="120"/>
              <w:jc w:val="both"/>
              <w:rPr>
                <w:rFonts w:ascii="Arial" w:eastAsia="Times New Roman" w:hAnsi="Arial" w:cs="Arial"/>
                <w:color w:val="000000" w:themeColor="text1"/>
                <w:spacing w:val="-4"/>
                <w:sz w:val="20"/>
                <w:szCs w:val="20"/>
                <w:lang w:eastAsia="en-GB"/>
              </w:rPr>
            </w:pPr>
          </w:p>
          <w:p w14:paraId="05388C76" w14:textId="65714F46" w:rsidR="004F3ABD" w:rsidRDefault="004F3ABD" w:rsidP="00C711B0">
            <w:pPr>
              <w:spacing w:before="120"/>
              <w:jc w:val="both"/>
              <w:rPr>
                <w:rFonts w:ascii="Arial" w:eastAsia="Times New Roman" w:hAnsi="Arial" w:cs="Arial"/>
                <w:color w:val="000000" w:themeColor="text1"/>
                <w:spacing w:val="-4"/>
                <w:sz w:val="20"/>
                <w:szCs w:val="20"/>
                <w:lang w:eastAsia="en-GB"/>
              </w:rPr>
            </w:pPr>
          </w:p>
          <w:p w14:paraId="46FB2A6A" w14:textId="52322738" w:rsidR="004F3ABD" w:rsidRPr="00A70770" w:rsidRDefault="004F3ABD" w:rsidP="00C711B0">
            <w:pPr>
              <w:spacing w:before="120"/>
              <w:jc w:val="both"/>
              <w:rPr>
                <w:rFonts w:ascii="Arial" w:eastAsia="Times New Roman" w:hAnsi="Arial" w:cs="Arial"/>
                <w:color w:val="000000" w:themeColor="text1"/>
                <w:spacing w:val="-4"/>
                <w:sz w:val="18"/>
                <w:szCs w:val="18"/>
                <w:lang w:eastAsia="en-GB"/>
              </w:rPr>
            </w:pPr>
          </w:p>
          <w:p w14:paraId="0D58B220" w14:textId="394E8652" w:rsidR="00210672" w:rsidRPr="00912349" w:rsidRDefault="00210672" w:rsidP="00210672">
            <w:pPr>
              <w:pStyle w:val="ListParagraph"/>
              <w:numPr>
                <w:ilvl w:val="0"/>
                <w:numId w:val="8"/>
              </w:numPr>
              <w:spacing w:before="120" w:line="259" w:lineRule="auto"/>
              <w:ind w:left="284" w:hanging="284"/>
              <w:contextualSpacing w:val="0"/>
              <w:jc w:val="both"/>
              <w:rPr>
                <w:rFonts w:ascii="Arial" w:eastAsia="Times New Roman" w:hAnsi="Arial" w:cs="Arial"/>
                <w:color w:val="000000" w:themeColor="text1"/>
                <w:sz w:val="20"/>
                <w:szCs w:val="20"/>
                <w:lang w:eastAsia="en-GB"/>
              </w:rPr>
            </w:pPr>
            <w:r>
              <w:rPr>
                <w:rFonts w:ascii="Arial" w:eastAsia="Times New Roman" w:hAnsi="Arial" w:cs="Arial"/>
                <w:color w:val="000000" w:themeColor="text1"/>
                <w:sz w:val="20"/>
                <w:szCs w:val="20"/>
                <w:lang w:eastAsia="en-GB"/>
              </w:rPr>
              <w:lastRenderedPageBreak/>
              <w:t>A</w:t>
            </w:r>
            <w:r w:rsidRPr="00912349">
              <w:rPr>
                <w:rFonts w:ascii="Arial" w:eastAsia="Times New Roman" w:hAnsi="Arial" w:cs="Arial"/>
                <w:color w:val="000000" w:themeColor="text1"/>
                <w:sz w:val="20"/>
                <w:szCs w:val="20"/>
                <w:lang w:eastAsia="en-GB"/>
              </w:rPr>
              <w:t xml:space="preserve">ssessed whether the discount rate applied by management was within the acceptable range </w:t>
            </w:r>
            <w:r w:rsidR="00F55049" w:rsidRPr="00F55049">
              <w:rPr>
                <w:rFonts w:ascii="Arial" w:eastAsia="Times New Roman" w:hAnsi="Arial" w:cs="Arial"/>
                <w:color w:val="000000" w:themeColor="text1"/>
                <w:spacing w:val="-6"/>
                <w:sz w:val="20"/>
                <w:szCs w:val="20"/>
                <w:lang w:eastAsia="en-GB"/>
              </w:rPr>
              <w:t xml:space="preserve">and was comparable with the data </w:t>
            </w:r>
            <w:r w:rsidRPr="00F55049">
              <w:rPr>
                <w:rFonts w:ascii="Arial" w:eastAsia="Times New Roman" w:hAnsi="Arial" w:cs="Arial"/>
                <w:color w:val="000000" w:themeColor="text1"/>
                <w:spacing w:val="-6"/>
                <w:sz w:val="20"/>
                <w:szCs w:val="20"/>
                <w:lang w:eastAsia="en-GB"/>
              </w:rPr>
              <w:t>independently</w:t>
            </w:r>
            <w:r w:rsidRPr="00912349">
              <w:rPr>
                <w:rFonts w:ascii="Arial" w:eastAsia="Times New Roman" w:hAnsi="Arial" w:cs="Arial"/>
                <w:color w:val="000000" w:themeColor="text1"/>
                <w:sz w:val="20"/>
                <w:szCs w:val="20"/>
                <w:lang w:eastAsia="en-GB"/>
              </w:rPr>
              <w:t xml:space="preserve"> obtained from public information of companies </w:t>
            </w:r>
            <w:r w:rsidR="00F55049">
              <w:rPr>
                <w:rFonts w:ascii="Arial" w:eastAsia="Times New Roman" w:hAnsi="Arial" w:cs="Arial"/>
                <w:color w:val="000000" w:themeColor="text1"/>
                <w:sz w:val="20"/>
                <w:szCs w:val="20"/>
                <w:lang w:eastAsia="en-GB"/>
              </w:rPr>
              <w:t>with</w:t>
            </w:r>
            <w:r w:rsidRPr="00912349">
              <w:rPr>
                <w:rFonts w:ascii="Arial" w:eastAsia="Times New Roman" w:hAnsi="Arial" w:cs="Arial"/>
                <w:color w:val="000000" w:themeColor="text1"/>
                <w:sz w:val="20"/>
                <w:szCs w:val="20"/>
                <w:lang w:eastAsia="en-GB"/>
              </w:rPr>
              <w:t xml:space="preserve">in the </w:t>
            </w:r>
            <w:r w:rsidR="00F55049">
              <w:rPr>
                <w:rFonts w:ascii="Arial" w:eastAsia="Times New Roman" w:hAnsi="Arial" w:cs="Arial"/>
                <w:color w:val="000000" w:themeColor="text1"/>
                <w:sz w:val="20"/>
                <w:szCs w:val="20"/>
                <w:lang w:eastAsia="en-GB"/>
              </w:rPr>
              <w:t xml:space="preserve">same </w:t>
            </w:r>
            <w:r w:rsidRPr="00912349">
              <w:rPr>
                <w:rFonts w:ascii="Arial" w:eastAsia="Times New Roman" w:hAnsi="Arial" w:cs="Arial"/>
                <w:color w:val="000000" w:themeColor="text1"/>
                <w:sz w:val="20"/>
                <w:szCs w:val="20"/>
                <w:lang w:eastAsia="en-GB"/>
              </w:rPr>
              <w:t>indust</w:t>
            </w:r>
            <w:r w:rsidR="00A70770">
              <w:rPr>
                <w:rFonts w:ascii="Arial" w:eastAsia="Times New Roman" w:hAnsi="Arial" w:cs="Arial"/>
                <w:color w:val="000000" w:themeColor="text1"/>
                <w:sz w:val="20"/>
                <w:szCs w:val="20"/>
                <w:lang w:eastAsia="en-GB"/>
              </w:rPr>
              <w:t>r</w:t>
            </w:r>
            <w:r w:rsidRPr="00912349">
              <w:rPr>
                <w:rFonts w:ascii="Arial" w:eastAsia="Times New Roman" w:hAnsi="Arial" w:cs="Arial"/>
                <w:color w:val="000000" w:themeColor="text1"/>
                <w:sz w:val="20"/>
                <w:szCs w:val="20"/>
                <w:lang w:eastAsia="en-GB"/>
              </w:rPr>
              <w:t>y.</w:t>
            </w:r>
          </w:p>
          <w:p w14:paraId="1EB63CE2" w14:textId="77777777" w:rsidR="00210672" w:rsidRDefault="00210672" w:rsidP="00210672">
            <w:pPr>
              <w:pStyle w:val="Default"/>
              <w:jc w:val="both"/>
              <w:rPr>
                <w:rFonts w:eastAsia="Times New Roman"/>
                <w:color w:val="000000" w:themeColor="text1"/>
                <w:sz w:val="20"/>
                <w:szCs w:val="20"/>
                <w:lang w:eastAsia="en-GB"/>
              </w:rPr>
            </w:pPr>
          </w:p>
          <w:p w14:paraId="1248FF75" w14:textId="67C36903" w:rsidR="00A24C73" w:rsidRPr="00C711B0" w:rsidRDefault="00210672" w:rsidP="00210672">
            <w:pPr>
              <w:pStyle w:val="Default"/>
              <w:jc w:val="thaiDistribute"/>
              <w:rPr>
                <w:color w:val="000000" w:themeColor="text1"/>
                <w:spacing w:val="-4"/>
                <w:sz w:val="20"/>
                <w:szCs w:val="20"/>
              </w:rPr>
            </w:pPr>
            <w:r w:rsidRPr="00C711B0">
              <w:rPr>
                <w:rFonts w:eastAsia="Times New Roman"/>
                <w:color w:val="000000" w:themeColor="text1"/>
                <w:spacing w:val="-4"/>
                <w:sz w:val="20"/>
                <w:szCs w:val="20"/>
                <w:lang w:eastAsia="en-GB"/>
              </w:rPr>
              <w:t>Based on audit procedures</w:t>
            </w:r>
            <w:r w:rsidR="00F55049">
              <w:rPr>
                <w:rFonts w:eastAsia="Times New Roman"/>
                <w:color w:val="000000" w:themeColor="text1"/>
                <w:spacing w:val="-4"/>
                <w:sz w:val="20"/>
                <w:szCs w:val="20"/>
                <w:lang w:eastAsia="en-GB"/>
              </w:rPr>
              <w:t xml:space="preserve"> performed</w:t>
            </w:r>
            <w:r w:rsidRPr="00C711B0">
              <w:rPr>
                <w:rFonts w:eastAsia="Times New Roman"/>
                <w:color w:val="000000" w:themeColor="text1"/>
                <w:spacing w:val="-4"/>
                <w:sz w:val="20"/>
                <w:szCs w:val="20"/>
                <w:lang w:eastAsia="en-GB"/>
              </w:rPr>
              <w:t>, I determined that the acquisition of investment is an investment in an associate</w:t>
            </w:r>
            <w:r w:rsidRPr="00C711B0">
              <w:rPr>
                <w:spacing w:val="-4"/>
                <w:sz w:val="20"/>
                <w:szCs w:val="20"/>
              </w:rPr>
              <w:t xml:space="preserve"> </w:t>
            </w:r>
            <w:r w:rsidRPr="00C711B0">
              <w:rPr>
                <w:rFonts w:eastAsia="Times New Roman"/>
                <w:color w:val="000000" w:themeColor="text1"/>
                <w:spacing w:val="-4"/>
                <w:sz w:val="20"/>
                <w:szCs w:val="20"/>
                <w:lang w:eastAsia="en-GB"/>
              </w:rPr>
              <w:t xml:space="preserve">in accordance with the definition set out in TAS 28. The assumptions used in identifying the </w:t>
            </w:r>
            <w:r w:rsidRPr="00F55049">
              <w:rPr>
                <w:rFonts w:eastAsia="Times New Roman"/>
                <w:color w:val="000000" w:themeColor="text1"/>
                <w:spacing w:val="-8"/>
                <w:sz w:val="20"/>
                <w:szCs w:val="20"/>
                <w:lang w:eastAsia="en-GB"/>
              </w:rPr>
              <w:t>fair values of the net identifiable asset were reasonable.</w:t>
            </w:r>
          </w:p>
        </w:tc>
      </w:tr>
      <w:tr w:rsidR="00BE5305" w:rsidRPr="00A24C73" w14:paraId="605FA995" w14:textId="77777777" w:rsidTr="00C711B0">
        <w:tc>
          <w:tcPr>
            <w:tcW w:w="4536" w:type="dxa"/>
            <w:tcBorders>
              <w:bottom w:val="single" w:sz="4" w:space="0" w:color="FFA543"/>
            </w:tcBorders>
            <w:shd w:val="clear" w:color="auto" w:fill="auto"/>
          </w:tcPr>
          <w:p w14:paraId="555F16F0" w14:textId="77777777" w:rsidR="00BE5305" w:rsidRPr="00A24C73" w:rsidRDefault="00BE5305" w:rsidP="00BE5305">
            <w:pPr>
              <w:pStyle w:val="Default"/>
              <w:ind w:right="244"/>
              <w:jc w:val="thaiDistribute"/>
              <w:rPr>
                <w:color w:val="000000" w:themeColor="text1"/>
                <w:sz w:val="12"/>
                <w:szCs w:val="12"/>
              </w:rPr>
            </w:pPr>
          </w:p>
        </w:tc>
        <w:tc>
          <w:tcPr>
            <w:tcW w:w="4680" w:type="dxa"/>
            <w:tcBorders>
              <w:bottom w:val="single" w:sz="4" w:space="0" w:color="FFA543"/>
            </w:tcBorders>
            <w:shd w:val="clear" w:color="auto" w:fill="FAFAFA"/>
          </w:tcPr>
          <w:p w14:paraId="3BFFD373" w14:textId="77777777" w:rsidR="00BE5305" w:rsidRPr="00A24C73" w:rsidRDefault="00BE5305" w:rsidP="00A24C73">
            <w:pPr>
              <w:pStyle w:val="Default"/>
              <w:jc w:val="thaiDistribute"/>
              <w:rPr>
                <w:color w:val="000000" w:themeColor="text1"/>
                <w:sz w:val="12"/>
                <w:szCs w:val="12"/>
              </w:rPr>
            </w:pPr>
          </w:p>
        </w:tc>
      </w:tr>
    </w:tbl>
    <w:p w14:paraId="0E9552AE" w14:textId="77777777" w:rsidR="00210672" w:rsidRPr="00210672" w:rsidRDefault="00210672" w:rsidP="00B15C07">
      <w:pPr>
        <w:spacing w:after="0"/>
        <w:rPr>
          <w:rFonts w:ascii="Arial" w:eastAsia="Calibri" w:hAnsi="Arial"/>
          <w:b/>
          <w:bCs/>
          <w:color w:val="CF4A02"/>
          <w:sz w:val="20"/>
          <w:szCs w:val="20"/>
        </w:rPr>
      </w:pPr>
    </w:p>
    <w:p w14:paraId="15453AB4" w14:textId="213AC8B6" w:rsidR="005B49D6" w:rsidRPr="002757B2" w:rsidRDefault="00E07F94" w:rsidP="00F67AF3">
      <w:pPr>
        <w:pStyle w:val="Default"/>
        <w:jc w:val="thaiDistribute"/>
        <w:rPr>
          <w:rFonts w:eastAsia="Calibri"/>
          <w:b/>
          <w:bCs/>
          <w:color w:val="CF4A02"/>
          <w:sz w:val="20"/>
          <w:szCs w:val="20"/>
        </w:rPr>
      </w:pPr>
      <w:r w:rsidRPr="002757B2">
        <w:rPr>
          <w:rFonts w:eastAsia="Calibri"/>
          <w:b/>
          <w:bCs/>
          <w:color w:val="CF4A02"/>
          <w:sz w:val="20"/>
          <w:szCs w:val="20"/>
        </w:rPr>
        <w:t>Other i</w:t>
      </w:r>
      <w:r w:rsidR="00790517" w:rsidRPr="002757B2">
        <w:rPr>
          <w:rFonts w:eastAsia="Calibri"/>
          <w:b/>
          <w:bCs/>
          <w:color w:val="CF4A02"/>
          <w:sz w:val="20"/>
          <w:szCs w:val="20"/>
        </w:rPr>
        <w:t xml:space="preserve">nformation </w:t>
      </w:r>
    </w:p>
    <w:p w14:paraId="1BE9C730" w14:textId="77777777" w:rsidR="00E3702E" w:rsidRPr="002757B2" w:rsidRDefault="00E3702E" w:rsidP="00F67AF3">
      <w:pPr>
        <w:pStyle w:val="Default"/>
        <w:jc w:val="thaiDistribute"/>
        <w:rPr>
          <w:rFonts w:eastAsia="Calibri"/>
          <w:b/>
          <w:bCs/>
          <w:color w:val="000000" w:themeColor="text1"/>
          <w:sz w:val="20"/>
          <w:szCs w:val="20"/>
        </w:rPr>
      </w:pPr>
    </w:p>
    <w:p w14:paraId="728B2DF6" w14:textId="77777777" w:rsidR="00D55385" w:rsidRPr="002757B2" w:rsidRDefault="00D55385" w:rsidP="00D55385">
      <w:pPr>
        <w:spacing w:after="0" w:line="240" w:lineRule="auto"/>
        <w:jc w:val="thaiDistribute"/>
        <w:rPr>
          <w:rFonts w:ascii="Arial" w:eastAsia="Times New Roman" w:hAnsi="Arial" w:cs="Arial"/>
          <w:color w:val="000000" w:themeColor="text1"/>
          <w:sz w:val="20"/>
          <w:szCs w:val="20"/>
          <w:lang w:eastAsia="en-GB"/>
        </w:rPr>
      </w:pPr>
      <w:r w:rsidRPr="002757B2">
        <w:rPr>
          <w:rFonts w:ascii="Arial" w:eastAsia="Times New Roman" w:hAnsi="Arial" w:cs="Arial"/>
          <w:color w:val="000000" w:themeColor="text1"/>
          <w:sz w:val="20"/>
          <w:szCs w:val="20"/>
          <w:lang w:val="en-US" w:eastAsia="en-GB"/>
        </w:rPr>
        <w:t xml:space="preserve">The directors are </w:t>
      </w:r>
      <w:r w:rsidRPr="002757B2">
        <w:rPr>
          <w:rFonts w:ascii="Arial" w:eastAsia="Times New Roman" w:hAnsi="Arial" w:cs="Arial"/>
          <w:color w:val="000000" w:themeColor="text1"/>
          <w:sz w:val="20"/>
          <w:szCs w:val="20"/>
          <w:lang w:eastAsia="en-GB"/>
        </w:rPr>
        <w:t xml:space="preserve">responsible for the other information. The other information comprises the information included in the annual </w:t>
      </w:r>
      <w:proofErr w:type="gramStart"/>
      <w:r w:rsidRPr="002757B2">
        <w:rPr>
          <w:rFonts w:ascii="Arial" w:eastAsia="Times New Roman" w:hAnsi="Arial" w:cs="Arial"/>
          <w:color w:val="000000" w:themeColor="text1"/>
          <w:sz w:val="20"/>
          <w:szCs w:val="20"/>
          <w:lang w:eastAsia="en-GB"/>
        </w:rPr>
        <w:t>report,</w:t>
      </w:r>
      <w:r w:rsidR="005940C1">
        <w:rPr>
          <w:rFonts w:ascii="Arial" w:eastAsia="Times New Roman" w:hAnsi="Arial" w:cs="Arial"/>
          <w:color w:val="000000" w:themeColor="text1"/>
          <w:sz w:val="20"/>
          <w:szCs w:val="20"/>
          <w:lang w:eastAsia="en-GB"/>
        </w:rPr>
        <w:t xml:space="preserve"> </w:t>
      </w:r>
      <w:r w:rsidRPr="002757B2">
        <w:rPr>
          <w:rFonts w:ascii="Arial" w:eastAsia="Times New Roman" w:hAnsi="Arial" w:cs="Arial"/>
          <w:color w:val="000000" w:themeColor="text1"/>
          <w:sz w:val="20"/>
          <w:szCs w:val="20"/>
          <w:lang w:eastAsia="en-GB"/>
        </w:rPr>
        <w:t>but</w:t>
      </w:r>
      <w:proofErr w:type="gramEnd"/>
      <w:r w:rsidRPr="002757B2">
        <w:rPr>
          <w:rFonts w:ascii="Arial" w:eastAsia="Times New Roman" w:hAnsi="Arial" w:cs="Arial"/>
          <w:color w:val="000000" w:themeColor="text1"/>
          <w:sz w:val="20"/>
          <w:szCs w:val="20"/>
          <w:lang w:eastAsia="en-GB"/>
        </w:rPr>
        <w:t xml:space="preserve"> does not include the consolidated and </w:t>
      </w:r>
      <w:r w:rsidRPr="002757B2">
        <w:rPr>
          <w:rFonts w:ascii="Arial" w:hAnsi="Arial" w:cs="Arial"/>
          <w:color w:val="000000" w:themeColor="text1"/>
          <w:sz w:val="20"/>
          <w:szCs w:val="20"/>
        </w:rPr>
        <w:t>separate</w:t>
      </w:r>
      <w:r w:rsidRPr="002757B2">
        <w:rPr>
          <w:rFonts w:ascii="Arial" w:eastAsia="Times New Roman" w:hAnsi="Arial" w:cs="Arial"/>
          <w:color w:val="000000" w:themeColor="text1"/>
          <w:sz w:val="20"/>
          <w:szCs w:val="20"/>
          <w:lang w:eastAsia="en-GB"/>
        </w:rPr>
        <w:t xml:space="preserve"> financial statements and my auditor’s report thereon.</w:t>
      </w:r>
    </w:p>
    <w:p w14:paraId="606F390A" w14:textId="77777777" w:rsidR="00D55385" w:rsidRPr="002757B2" w:rsidRDefault="00D55385" w:rsidP="00D55385">
      <w:pPr>
        <w:spacing w:after="0" w:line="240" w:lineRule="auto"/>
        <w:jc w:val="thaiDistribute"/>
        <w:rPr>
          <w:rFonts w:ascii="Arial" w:eastAsia="Times New Roman" w:hAnsi="Arial" w:cs="Arial"/>
          <w:color w:val="000000" w:themeColor="text1"/>
          <w:sz w:val="20"/>
          <w:szCs w:val="20"/>
          <w:lang w:eastAsia="en-GB"/>
        </w:rPr>
      </w:pPr>
    </w:p>
    <w:p w14:paraId="25EC2C72" w14:textId="77777777" w:rsidR="00D55385" w:rsidRPr="002757B2" w:rsidRDefault="00D55385" w:rsidP="00D55385">
      <w:pPr>
        <w:spacing w:after="0" w:line="240" w:lineRule="auto"/>
        <w:jc w:val="thaiDistribute"/>
        <w:rPr>
          <w:rFonts w:ascii="Arial" w:eastAsia="Times New Roman" w:hAnsi="Arial" w:cs="Arial"/>
          <w:color w:val="000000" w:themeColor="text1"/>
          <w:sz w:val="20"/>
          <w:szCs w:val="20"/>
          <w:lang w:eastAsia="en-GB"/>
        </w:rPr>
      </w:pPr>
      <w:r w:rsidRPr="002757B2">
        <w:rPr>
          <w:rFonts w:ascii="Arial" w:eastAsia="Times New Roman" w:hAnsi="Arial" w:cs="Arial"/>
          <w:color w:val="000000" w:themeColor="text1"/>
          <w:sz w:val="20"/>
          <w:szCs w:val="20"/>
          <w:lang w:eastAsia="en-GB"/>
        </w:rPr>
        <w:t xml:space="preserve">My opinion on the consolidated and </w:t>
      </w:r>
      <w:r w:rsidRPr="002757B2">
        <w:rPr>
          <w:rFonts w:ascii="Arial" w:hAnsi="Arial" w:cs="Arial"/>
          <w:color w:val="000000" w:themeColor="text1"/>
          <w:sz w:val="20"/>
          <w:szCs w:val="20"/>
        </w:rPr>
        <w:t>separate</w:t>
      </w:r>
      <w:r w:rsidRPr="002757B2">
        <w:rPr>
          <w:rFonts w:ascii="Arial" w:eastAsia="Times New Roman" w:hAnsi="Arial" w:cs="Arial"/>
          <w:color w:val="000000" w:themeColor="text1"/>
          <w:sz w:val="20"/>
          <w:szCs w:val="20"/>
          <w:lang w:eastAsia="en-GB"/>
        </w:rPr>
        <w:t xml:space="preserve"> financial statements does not cover the other information and I do not express any form of assurance conclusion thereon. </w:t>
      </w:r>
    </w:p>
    <w:p w14:paraId="7071D5E5" w14:textId="77777777" w:rsidR="00D55385" w:rsidRPr="002757B2" w:rsidRDefault="00D55385" w:rsidP="00D55385">
      <w:pPr>
        <w:spacing w:after="0" w:line="240" w:lineRule="auto"/>
        <w:jc w:val="thaiDistribute"/>
        <w:rPr>
          <w:rFonts w:ascii="Arial" w:eastAsia="Times New Roman" w:hAnsi="Arial" w:cs="Arial"/>
          <w:color w:val="000000" w:themeColor="text1"/>
          <w:sz w:val="20"/>
          <w:szCs w:val="20"/>
          <w:lang w:eastAsia="en-GB"/>
        </w:rPr>
      </w:pPr>
    </w:p>
    <w:p w14:paraId="5A27B324" w14:textId="77777777" w:rsidR="00D55385" w:rsidRPr="002757B2" w:rsidRDefault="00D55385" w:rsidP="00D55385">
      <w:pPr>
        <w:spacing w:after="0" w:line="240" w:lineRule="auto"/>
        <w:jc w:val="thaiDistribute"/>
        <w:rPr>
          <w:rFonts w:ascii="Arial" w:eastAsia="Times New Roman" w:hAnsi="Arial" w:cs="Arial"/>
          <w:color w:val="000000" w:themeColor="text1"/>
          <w:sz w:val="20"/>
          <w:szCs w:val="20"/>
          <w:lang w:eastAsia="en-GB"/>
        </w:rPr>
      </w:pPr>
      <w:r w:rsidRPr="002757B2">
        <w:rPr>
          <w:rFonts w:ascii="Arial" w:eastAsia="Times New Roman" w:hAnsi="Arial" w:cs="Arial"/>
          <w:color w:val="000000" w:themeColor="text1"/>
          <w:sz w:val="20"/>
          <w:szCs w:val="20"/>
          <w:lang w:eastAsia="en-GB"/>
        </w:rPr>
        <w:t xml:space="preserve">In connection with my audit of the consolidated and </w:t>
      </w:r>
      <w:r w:rsidRPr="002757B2">
        <w:rPr>
          <w:rFonts w:ascii="Arial" w:hAnsi="Arial" w:cs="Arial"/>
          <w:color w:val="000000" w:themeColor="text1"/>
          <w:sz w:val="20"/>
          <w:szCs w:val="20"/>
        </w:rPr>
        <w:t>separate</w:t>
      </w:r>
      <w:r w:rsidRPr="002757B2">
        <w:rPr>
          <w:rFonts w:ascii="Arial" w:eastAsia="Times New Roman" w:hAnsi="Arial" w:cs="Arial"/>
          <w:color w:val="000000" w:themeColor="text1"/>
          <w:sz w:val="20"/>
          <w:szCs w:val="20"/>
          <w:lang w:eastAsia="en-GB"/>
        </w:rPr>
        <w:t xml:space="preserve"> financial statements, my responsibility is to read the other information and, in doing so, consider whether the other information is materially inconsistent with the consolidated and </w:t>
      </w:r>
      <w:r w:rsidRPr="002757B2">
        <w:rPr>
          <w:rFonts w:ascii="Arial" w:hAnsi="Arial" w:cs="Arial"/>
          <w:color w:val="000000" w:themeColor="text1"/>
          <w:sz w:val="20"/>
          <w:szCs w:val="20"/>
        </w:rPr>
        <w:t>separate</w:t>
      </w:r>
      <w:r w:rsidRPr="002757B2">
        <w:rPr>
          <w:rFonts w:ascii="Arial" w:eastAsia="Times New Roman" w:hAnsi="Arial" w:cs="Arial"/>
          <w:color w:val="000000" w:themeColor="text1"/>
          <w:sz w:val="20"/>
          <w:szCs w:val="20"/>
          <w:lang w:eastAsia="en-GB"/>
        </w:rPr>
        <w:t xml:space="preserve"> financial statements or my knowledge obtained in the audit or otherwise appears to be materially misstated. If, based on the work I have performed, I conclude that there is a material misstatement of this other information, I am required to report that fact. I have nothing to report in this regard.</w:t>
      </w:r>
    </w:p>
    <w:p w14:paraId="4ED231F4" w14:textId="7CD2DB7F" w:rsidR="00A80C46" w:rsidRPr="007B77C0" w:rsidRDefault="00A80C46" w:rsidP="007B77C0">
      <w:pPr>
        <w:pStyle w:val="Default"/>
        <w:jc w:val="thaiDistribute"/>
        <w:rPr>
          <w:b/>
          <w:bCs/>
          <w:color w:val="000000" w:themeColor="text1"/>
          <w:sz w:val="20"/>
          <w:szCs w:val="20"/>
        </w:rPr>
      </w:pPr>
    </w:p>
    <w:p w14:paraId="70D32B7D" w14:textId="77777777" w:rsidR="00790517" w:rsidRPr="002D2FF7" w:rsidRDefault="00790517" w:rsidP="00F67AF3">
      <w:pPr>
        <w:pStyle w:val="Default"/>
        <w:jc w:val="thaiDistribute"/>
        <w:rPr>
          <w:rFonts w:ascii="Arial Bold" w:eastAsia="Calibri" w:hAnsi="Arial Bold"/>
          <w:b/>
          <w:bCs/>
          <w:color w:val="CF4A02"/>
          <w:sz w:val="20"/>
          <w:szCs w:val="20"/>
        </w:rPr>
      </w:pPr>
      <w:r w:rsidRPr="002D2FF7">
        <w:rPr>
          <w:rFonts w:ascii="Arial Bold" w:eastAsia="Calibri" w:hAnsi="Arial Bold"/>
          <w:b/>
          <w:bCs/>
          <w:color w:val="CF4A02"/>
          <w:sz w:val="20"/>
          <w:szCs w:val="20"/>
        </w:rPr>
        <w:t xml:space="preserve">Responsibilities of </w:t>
      </w:r>
      <w:r w:rsidR="00E507A3" w:rsidRPr="002D2FF7">
        <w:rPr>
          <w:rFonts w:ascii="Arial Bold" w:eastAsia="Calibri" w:hAnsi="Arial Bold"/>
          <w:b/>
          <w:bCs/>
          <w:color w:val="CF4A02"/>
          <w:sz w:val="20"/>
          <w:szCs w:val="20"/>
        </w:rPr>
        <w:t xml:space="preserve">the directors </w:t>
      </w:r>
      <w:r w:rsidRPr="002D2FF7">
        <w:rPr>
          <w:rFonts w:ascii="Arial Bold" w:eastAsia="Calibri" w:hAnsi="Arial Bold"/>
          <w:b/>
          <w:bCs/>
          <w:color w:val="CF4A02"/>
          <w:sz w:val="20"/>
          <w:szCs w:val="20"/>
        </w:rPr>
        <w:t xml:space="preserve">for the </w:t>
      </w:r>
      <w:r w:rsidR="00E07F94" w:rsidRPr="002D2FF7">
        <w:rPr>
          <w:rFonts w:ascii="Arial Bold" w:eastAsia="Calibri" w:hAnsi="Arial Bold"/>
          <w:b/>
          <w:bCs/>
          <w:color w:val="CF4A02"/>
          <w:sz w:val="20"/>
          <w:szCs w:val="20"/>
        </w:rPr>
        <w:t>c</w:t>
      </w:r>
      <w:r w:rsidR="00BD5FF4" w:rsidRPr="002D2FF7">
        <w:rPr>
          <w:rFonts w:ascii="Arial Bold" w:eastAsia="Calibri" w:hAnsi="Arial Bold"/>
          <w:b/>
          <w:bCs/>
          <w:color w:val="CF4A02"/>
          <w:sz w:val="20"/>
          <w:szCs w:val="20"/>
        </w:rPr>
        <w:t xml:space="preserve">onsolidated and </w:t>
      </w:r>
      <w:r w:rsidR="00E07F94" w:rsidRPr="002D2FF7">
        <w:rPr>
          <w:rFonts w:ascii="Arial Bold" w:eastAsia="Calibri" w:hAnsi="Arial Bold"/>
          <w:b/>
          <w:bCs/>
          <w:color w:val="CF4A02"/>
          <w:sz w:val="20"/>
          <w:szCs w:val="20"/>
        </w:rPr>
        <w:t>s</w:t>
      </w:r>
      <w:r w:rsidR="00E507A3" w:rsidRPr="002D2FF7">
        <w:rPr>
          <w:rFonts w:ascii="Arial Bold" w:eastAsia="Calibri" w:hAnsi="Arial Bold"/>
          <w:b/>
          <w:bCs/>
          <w:color w:val="CF4A02"/>
          <w:sz w:val="20"/>
          <w:szCs w:val="20"/>
        </w:rPr>
        <w:t xml:space="preserve">eparate </w:t>
      </w:r>
      <w:r w:rsidR="00E07F94" w:rsidRPr="002D2FF7">
        <w:rPr>
          <w:rFonts w:ascii="Arial Bold" w:eastAsia="Calibri" w:hAnsi="Arial Bold"/>
          <w:b/>
          <w:bCs/>
          <w:color w:val="CF4A02"/>
          <w:sz w:val="20"/>
          <w:szCs w:val="20"/>
        </w:rPr>
        <w:t>f</w:t>
      </w:r>
      <w:r w:rsidRPr="002D2FF7">
        <w:rPr>
          <w:rFonts w:ascii="Arial Bold" w:eastAsia="Calibri" w:hAnsi="Arial Bold"/>
          <w:b/>
          <w:bCs/>
          <w:color w:val="CF4A02"/>
          <w:sz w:val="20"/>
          <w:szCs w:val="20"/>
        </w:rPr>
        <w:t xml:space="preserve">inancial </w:t>
      </w:r>
      <w:r w:rsidR="00E07F94" w:rsidRPr="002D2FF7">
        <w:rPr>
          <w:rFonts w:ascii="Arial Bold" w:eastAsia="Calibri" w:hAnsi="Arial Bold"/>
          <w:b/>
          <w:bCs/>
          <w:color w:val="CF4A02"/>
          <w:sz w:val="20"/>
          <w:szCs w:val="20"/>
        </w:rPr>
        <w:t>s</w:t>
      </w:r>
      <w:r w:rsidRPr="002D2FF7">
        <w:rPr>
          <w:rFonts w:ascii="Arial Bold" w:eastAsia="Calibri" w:hAnsi="Arial Bold"/>
          <w:b/>
          <w:bCs/>
          <w:color w:val="CF4A02"/>
          <w:sz w:val="20"/>
          <w:szCs w:val="20"/>
        </w:rPr>
        <w:t xml:space="preserve">tatements </w:t>
      </w:r>
    </w:p>
    <w:p w14:paraId="7038500C" w14:textId="77777777" w:rsidR="00E3702E" w:rsidRPr="002757B2" w:rsidRDefault="00E3702E" w:rsidP="00F67AF3">
      <w:pPr>
        <w:pStyle w:val="Default"/>
        <w:jc w:val="thaiDistribute"/>
        <w:rPr>
          <w:rFonts w:eastAsia="Calibri"/>
          <w:b/>
          <w:bCs/>
          <w:color w:val="000000" w:themeColor="text1"/>
          <w:sz w:val="20"/>
          <w:szCs w:val="20"/>
        </w:rPr>
      </w:pPr>
    </w:p>
    <w:p w14:paraId="3B63BD18" w14:textId="77777777" w:rsidR="00B91979" w:rsidRPr="002757B2" w:rsidRDefault="00E507A3" w:rsidP="008B018B">
      <w:pPr>
        <w:spacing w:after="0" w:line="240" w:lineRule="auto"/>
        <w:jc w:val="thaiDistribute"/>
        <w:rPr>
          <w:rFonts w:ascii="Arial" w:hAnsi="Arial" w:cs="Arial"/>
          <w:color w:val="000000" w:themeColor="text1"/>
          <w:sz w:val="20"/>
          <w:szCs w:val="20"/>
        </w:rPr>
      </w:pPr>
      <w:r w:rsidRPr="002757B2">
        <w:rPr>
          <w:rFonts w:ascii="Arial" w:hAnsi="Arial" w:cs="Arial"/>
          <w:color w:val="000000" w:themeColor="text1"/>
          <w:sz w:val="20"/>
          <w:szCs w:val="20"/>
        </w:rPr>
        <w:t>The directors are</w:t>
      </w:r>
      <w:r w:rsidR="00B91979" w:rsidRPr="002757B2">
        <w:rPr>
          <w:rFonts w:ascii="Arial" w:hAnsi="Arial" w:cs="Arial"/>
          <w:color w:val="000000" w:themeColor="text1"/>
          <w:sz w:val="20"/>
          <w:szCs w:val="20"/>
        </w:rPr>
        <w:t xml:space="preserve"> responsible for the preparation and fair presentation of the </w:t>
      </w:r>
      <w:r w:rsidR="00BD5FF4" w:rsidRPr="002757B2">
        <w:rPr>
          <w:rFonts w:ascii="Arial" w:hAnsi="Arial" w:cs="Arial"/>
          <w:color w:val="000000" w:themeColor="text1"/>
          <w:sz w:val="20"/>
          <w:szCs w:val="20"/>
        </w:rPr>
        <w:t xml:space="preserve">consolidated and </w:t>
      </w:r>
      <w:r w:rsidR="00D0685C" w:rsidRPr="002757B2">
        <w:rPr>
          <w:rFonts w:ascii="Arial" w:hAnsi="Arial" w:cs="Arial"/>
          <w:color w:val="000000" w:themeColor="text1"/>
          <w:sz w:val="20"/>
          <w:szCs w:val="20"/>
        </w:rPr>
        <w:t xml:space="preserve">separate </w:t>
      </w:r>
      <w:r w:rsidR="00B91979" w:rsidRPr="002757B2">
        <w:rPr>
          <w:rFonts w:ascii="Arial" w:hAnsi="Arial" w:cs="Arial"/>
          <w:color w:val="000000" w:themeColor="text1"/>
          <w:sz w:val="20"/>
          <w:szCs w:val="20"/>
        </w:rPr>
        <w:t>financial statements in accordance</w:t>
      </w:r>
      <w:r w:rsidR="005B1E87" w:rsidRPr="002757B2">
        <w:rPr>
          <w:rFonts w:ascii="Arial" w:hAnsi="Arial" w:cs="Arial"/>
          <w:color w:val="000000" w:themeColor="text1"/>
          <w:sz w:val="20"/>
          <w:szCs w:val="20"/>
        </w:rPr>
        <w:t xml:space="preserve"> </w:t>
      </w:r>
      <w:r w:rsidR="00B91979" w:rsidRPr="002757B2">
        <w:rPr>
          <w:rFonts w:ascii="Arial" w:hAnsi="Arial" w:cs="Arial"/>
          <w:color w:val="000000" w:themeColor="text1"/>
          <w:sz w:val="20"/>
          <w:szCs w:val="20"/>
        </w:rPr>
        <w:t xml:space="preserve">with TFRS, and for such internal control as </w:t>
      </w:r>
      <w:r w:rsidR="00D0685C" w:rsidRPr="002757B2">
        <w:rPr>
          <w:rFonts w:ascii="Arial" w:hAnsi="Arial" w:cs="Arial"/>
          <w:color w:val="000000" w:themeColor="text1"/>
          <w:sz w:val="20"/>
          <w:szCs w:val="20"/>
        </w:rPr>
        <w:t xml:space="preserve">the directors </w:t>
      </w:r>
      <w:r w:rsidR="00B91979" w:rsidRPr="002757B2">
        <w:rPr>
          <w:rFonts w:ascii="Arial" w:hAnsi="Arial" w:cs="Arial"/>
          <w:color w:val="000000" w:themeColor="text1"/>
          <w:sz w:val="20"/>
          <w:szCs w:val="20"/>
        </w:rPr>
        <w:t xml:space="preserve">determine is necessary to enable the preparation of </w:t>
      </w:r>
      <w:r w:rsidR="00BD5FF4" w:rsidRPr="002757B2">
        <w:rPr>
          <w:rFonts w:ascii="Arial" w:hAnsi="Arial" w:cs="Arial"/>
          <w:color w:val="000000" w:themeColor="text1"/>
          <w:sz w:val="20"/>
          <w:szCs w:val="20"/>
        </w:rPr>
        <w:t xml:space="preserve">consolidated and </w:t>
      </w:r>
      <w:r w:rsidR="00D0685C" w:rsidRPr="002757B2">
        <w:rPr>
          <w:rFonts w:ascii="Arial" w:hAnsi="Arial" w:cs="Arial"/>
          <w:color w:val="000000" w:themeColor="text1"/>
          <w:sz w:val="20"/>
          <w:szCs w:val="20"/>
        </w:rPr>
        <w:t xml:space="preserve">separate </w:t>
      </w:r>
      <w:r w:rsidR="00B91979" w:rsidRPr="002757B2">
        <w:rPr>
          <w:rFonts w:ascii="Arial" w:hAnsi="Arial" w:cs="Arial"/>
          <w:color w:val="000000" w:themeColor="text1"/>
          <w:sz w:val="20"/>
          <w:szCs w:val="20"/>
        </w:rPr>
        <w:t xml:space="preserve">financial statements that are free from material misstatement, whether due to fraud or error. </w:t>
      </w:r>
    </w:p>
    <w:p w14:paraId="7C5A085F" w14:textId="77777777" w:rsidR="00B91979" w:rsidRPr="002757B2" w:rsidRDefault="00B91979" w:rsidP="00F67AF3">
      <w:pPr>
        <w:spacing w:after="0" w:line="240" w:lineRule="auto"/>
        <w:jc w:val="thaiDistribute"/>
        <w:rPr>
          <w:rFonts w:ascii="Arial" w:hAnsi="Arial" w:cs="Arial"/>
          <w:color w:val="000000" w:themeColor="text1"/>
          <w:sz w:val="20"/>
          <w:szCs w:val="20"/>
        </w:rPr>
      </w:pPr>
    </w:p>
    <w:p w14:paraId="25002FBB" w14:textId="77777777" w:rsidR="00B91979" w:rsidRPr="002757B2" w:rsidRDefault="00B91979" w:rsidP="00F67AF3">
      <w:pPr>
        <w:spacing w:after="0" w:line="240" w:lineRule="auto"/>
        <w:jc w:val="thaiDistribute"/>
        <w:rPr>
          <w:rFonts w:ascii="Arial" w:hAnsi="Arial" w:cs="Arial"/>
          <w:color w:val="000000" w:themeColor="text1"/>
          <w:sz w:val="20"/>
          <w:szCs w:val="20"/>
        </w:rPr>
      </w:pPr>
      <w:r w:rsidRPr="00A92691">
        <w:rPr>
          <w:rFonts w:ascii="Arial" w:hAnsi="Arial" w:cs="Arial"/>
          <w:color w:val="000000" w:themeColor="text1"/>
          <w:spacing w:val="-4"/>
          <w:sz w:val="20"/>
          <w:szCs w:val="20"/>
        </w:rPr>
        <w:t xml:space="preserve">In preparing the </w:t>
      </w:r>
      <w:r w:rsidR="00BD5FF4" w:rsidRPr="00A92691">
        <w:rPr>
          <w:rFonts w:ascii="Arial" w:hAnsi="Arial" w:cs="Arial"/>
          <w:color w:val="000000" w:themeColor="text1"/>
          <w:spacing w:val="-4"/>
          <w:sz w:val="20"/>
          <w:szCs w:val="20"/>
        </w:rPr>
        <w:t xml:space="preserve">consolidated and </w:t>
      </w:r>
      <w:r w:rsidR="00D0685C" w:rsidRPr="00A92691">
        <w:rPr>
          <w:rFonts w:ascii="Arial" w:hAnsi="Arial" w:cs="Arial"/>
          <w:color w:val="000000" w:themeColor="text1"/>
          <w:spacing w:val="-4"/>
          <w:sz w:val="20"/>
          <w:szCs w:val="20"/>
        </w:rPr>
        <w:t xml:space="preserve">separate </w:t>
      </w:r>
      <w:r w:rsidRPr="00A92691">
        <w:rPr>
          <w:rFonts w:ascii="Arial" w:hAnsi="Arial" w:cs="Arial"/>
          <w:color w:val="000000" w:themeColor="text1"/>
          <w:spacing w:val="-4"/>
          <w:sz w:val="20"/>
          <w:szCs w:val="20"/>
        </w:rPr>
        <w:t xml:space="preserve">financial statements, </w:t>
      </w:r>
      <w:r w:rsidR="00D0685C" w:rsidRPr="00A92691">
        <w:rPr>
          <w:rFonts w:ascii="Arial" w:hAnsi="Arial" w:cs="Arial"/>
          <w:color w:val="000000" w:themeColor="text1"/>
          <w:spacing w:val="-4"/>
          <w:sz w:val="20"/>
          <w:szCs w:val="20"/>
        </w:rPr>
        <w:t>the directors are</w:t>
      </w:r>
      <w:r w:rsidRPr="00A92691">
        <w:rPr>
          <w:rFonts w:ascii="Arial" w:hAnsi="Arial" w:cs="Arial"/>
          <w:color w:val="000000" w:themeColor="text1"/>
          <w:spacing w:val="-4"/>
          <w:sz w:val="20"/>
          <w:szCs w:val="20"/>
        </w:rPr>
        <w:t xml:space="preserve"> responsible for assessing</w:t>
      </w:r>
      <w:r w:rsidRPr="002757B2">
        <w:rPr>
          <w:rFonts w:ascii="Arial" w:hAnsi="Arial" w:cs="Arial"/>
          <w:color w:val="000000" w:themeColor="text1"/>
          <w:sz w:val="20"/>
          <w:szCs w:val="20"/>
        </w:rPr>
        <w:t xml:space="preserve"> the </w:t>
      </w:r>
      <w:r w:rsidR="00BD5FF4" w:rsidRPr="002757B2">
        <w:rPr>
          <w:rFonts w:ascii="Arial" w:hAnsi="Arial" w:cs="Arial"/>
          <w:color w:val="000000" w:themeColor="text1"/>
          <w:sz w:val="20"/>
          <w:szCs w:val="20"/>
        </w:rPr>
        <w:t>Group</w:t>
      </w:r>
      <w:r w:rsidR="00AA3D7F" w:rsidRPr="002757B2">
        <w:rPr>
          <w:rFonts w:ascii="Arial" w:hAnsi="Arial" w:cs="Arial"/>
          <w:color w:val="000000" w:themeColor="text1"/>
          <w:sz w:val="20"/>
          <w:szCs w:val="20"/>
        </w:rPr>
        <w:t>’s</w:t>
      </w:r>
      <w:r w:rsidR="00BD5FF4" w:rsidRPr="002757B2">
        <w:rPr>
          <w:rFonts w:ascii="Arial" w:hAnsi="Arial" w:cs="Arial"/>
          <w:color w:val="000000" w:themeColor="text1"/>
          <w:sz w:val="20"/>
          <w:szCs w:val="20"/>
        </w:rPr>
        <w:t xml:space="preserve"> and </w:t>
      </w:r>
      <w:r w:rsidR="007A3ACC" w:rsidRPr="002757B2">
        <w:rPr>
          <w:rFonts w:ascii="Arial" w:hAnsi="Arial" w:cs="Arial"/>
          <w:color w:val="000000" w:themeColor="text1"/>
          <w:sz w:val="20"/>
          <w:szCs w:val="20"/>
        </w:rPr>
        <w:t xml:space="preserve">the </w:t>
      </w:r>
      <w:r w:rsidRPr="002757B2">
        <w:rPr>
          <w:rFonts w:ascii="Arial" w:hAnsi="Arial" w:cs="Arial"/>
          <w:color w:val="000000" w:themeColor="text1"/>
          <w:sz w:val="20"/>
          <w:szCs w:val="20"/>
        </w:rPr>
        <w:t xml:space="preserve">Company’s ability to continue as a going concern, disclosing, as applicable, matters </w:t>
      </w:r>
      <w:r w:rsidRPr="00A92691">
        <w:rPr>
          <w:rFonts w:ascii="Arial" w:hAnsi="Arial" w:cs="Arial"/>
          <w:color w:val="000000" w:themeColor="text1"/>
          <w:spacing w:val="-4"/>
          <w:sz w:val="20"/>
          <w:szCs w:val="20"/>
        </w:rPr>
        <w:t xml:space="preserve">related to going concern and using the going concern basis of accounting unless </w:t>
      </w:r>
      <w:r w:rsidR="00DB44FA" w:rsidRPr="00A92691">
        <w:rPr>
          <w:rFonts w:ascii="Arial" w:hAnsi="Arial" w:cs="Arial"/>
          <w:color w:val="000000" w:themeColor="text1"/>
          <w:spacing w:val="-4"/>
          <w:sz w:val="20"/>
          <w:szCs w:val="20"/>
        </w:rPr>
        <w:t xml:space="preserve">the directors </w:t>
      </w:r>
      <w:r w:rsidRPr="00A92691">
        <w:rPr>
          <w:rFonts w:ascii="Arial" w:hAnsi="Arial" w:cs="Arial"/>
          <w:color w:val="000000" w:themeColor="text1"/>
          <w:spacing w:val="-4"/>
          <w:sz w:val="20"/>
          <w:szCs w:val="20"/>
        </w:rPr>
        <w:t xml:space="preserve">either intend to liquidate the </w:t>
      </w:r>
      <w:r w:rsidR="00BD5FF4" w:rsidRPr="00A92691">
        <w:rPr>
          <w:rFonts w:ascii="Arial" w:hAnsi="Arial" w:cs="Arial"/>
          <w:color w:val="000000" w:themeColor="text1"/>
          <w:spacing w:val="-4"/>
          <w:sz w:val="20"/>
          <w:szCs w:val="20"/>
        </w:rPr>
        <w:t xml:space="preserve">Group </w:t>
      </w:r>
      <w:r w:rsidR="00900250" w:rsidRPr="00A92691">
        <w:rPr>
          <w:rFonts w:ascii="Arial" w:hAnsi="Arial" w:cs="Arial"/>
          <w:color w:val="000000" w:themeColor="text1"/>
          <w:spacing w:val="-4"/>
          <w:sz w:val="20"/>
          <w:szCs w:val="20"/>
        </w:rPr>
        <w:t>and</w:t>
      </w:r>
      <w:r w:rsidR="00BD5FF4" w:rsidRPr="00A92691">
        <w:rPr>
          <w:rFonts w:ascii="Arial" w:hAnsi="Arial" w:cs="Arial"/>
          <w:color w:val="000000" w:themeColor="text1"/>
          <w:spacing w:val="-4"/>
          <w:sz w:val="20"/>
          <w:szCs w:val="20"/>
        </w:rPr>
        <w:t xml:space="preserve"> </w:t>
      </w:r>
      <w:r w:rsidR="007A3ACC" w:rsidRPr="00A92691">
        <w:rPr>
          <w:rFonts w:ascii="Arial" w:hAnsi="Arial" w:cs="Arial"/>
          <w:color w:val="000000" w:themeColor="text1"/>
          <w:spacing w:val="-4"/>
          <w:sz w:val="20"/>
          <w:szCs w:val="20"/>
        </w:rPr>
        <w:t>the</w:t>
      </w:r>
      <w:r w:rsidR="00BF408C" w:rsidRPr="00A92691">
        <w:rPr>
          <w:rFonts w:ascii="Arial" w:hAnsi="Arial" w:cs="Arial"/>
          <w:color w:val="000000" w:themeColor="text1"/>
          <w:spacing w:val="-4"/>
          <w:sz w:val="20"/>
          <w:szCs w:val="20"/>
        </w:rPr>
        <w:t xml:space="preserve"> </w:t>
      </w:r>
      <w:r w:rsidRPr="00A92691">
        <w:rPr>
          <w:rFonts w:ascii="Arial" w:hAnsi="Arial" w:cs="Arial"/>
          <w:color w:val="000000" w:themeColor="text1"/>
          <w:spacing w:val="-4"/>
          <w:sz w:val="20"/>
          <w:szCs w:val="20"/>
        </w:rPr>
        <w:t>Company or to cease operations, or has no realistic alternative but to do so.</w:t>
      </w:r>
    </w:p>
    <w:p w14:paraId="1333DF4B" w14:textId="77777777" w:rsidR="00B91979" w:rsidRPr="002757B2" w:rsidRDefault="00B91979" w:rsidP="00F67AF3">
      <w:pPr>
        <w:spacing w:after="0" w:line="240" w:lineRule="auto"/>
        <w:jc w:val="thaiDistribute"/>
        <w:rPr>
          <w:rFonts w:ascii="Arial" w:hAnsi="Arial" w:cs="Arial"/>
          <w:color w:val="000000" w:themeColor="text1"/>
          <w:sz w:val="20"/>
          <w:szCs w:val="20"/>
        </w:rPr>
      </w:pPr>
    </w:p>
    <w:p w14:paraId="480A093A" w14:textId="77777777" w:rsidR="00B91979" w:rsidRPr="002757B2" w:rsidRDefault="00E07F94" w:rsidP="00F67AF3">
      <w:pPr>
        <w:spacing w:after="0" w:line="240" w:lineRule="auto"/>
        <w:jc w:val="thaiDistribute"/>
        <w:rPr>
          <w:rFonts w:ascii="Arial" w:hAnsi="Arial" w:cs="Arial"/>
          <w:color w:val="000000" w:themeColor="text1"/>
          <w:sz w:val="20"/>
          <w:szCs w:val="20"/>
        </w:rPr>
      </w:pPr>
      <w:r w:rsidRPr="002757B2">
        <w:rPr>
          <w:rFonts w:ascii="Arial" w:hAnsi="Arial" w:cs="Arial"/>
          <w:color w:val="000000" w:themeColor="text1"/>
          <w:sz w:val="20"/>
          <w:szCs w:val="20"/>
        </w:rPr>
        <w:t>The a</w:t>
      </w:r>
      <w:r w:rsidR="006651E7" w:rsidRPr="002757B2">
        <w:rPr>
          <w:rFonts w:ascii="Arial" w:hAnsi="Arial" w:cs="Arial"/>
          <w:color w:val="000000" w:themeColor="text1"/>
          <w:sz w:val="20"/>
          <w:szCs w:val="20"/>
        </w:rPr>
        <w:t xml:space="preserve">udit </w:t>
      </w:r>
      <w:r w:rsidRPr="002757B2">
        <w:rPr>
          <w:rFonts w:ascii="Arial" w:hAnsi="Arial" w:cs="Arial"/>
          <w:color w:val="000000" w:themeColor="text1"/>
          <w:sz w:val="20"/>
          <w:szCs w:val="20"/>
        </w:rPr>
        <w:t>c</w:t>
      </w:r>
      <w:r w:rsidR="006651E7" w:rsidRPr="002757B2">
        <w:rPr>
          <w:rFonts w:ascii="Arial" w:hAnsi="Arial" w:cs="Arial"/>
          <w:color w:val="000000" w:themeColor="text1"/>
          <w:sz w:val="20"/>
          <w:szCs w:val="20"/>
        </w:rPr>
        <w:t>ommittee assists</w:t>
      </w:r>
      <w:r w:rsidR="00D0685C" w:rsidRPr="002757B2">
        <w:rPr>
          <w:rFonts w:ascii="Arial" w:hAnsi="Arial" w:cs="Arial"/>
          <w:color w:val="000000" w:themeColor="text1"/>
          <w:sz w:val="20"/>
          <w:szCs w:val="20"/>
        </w:rPr>
        <w:t xml:space="preserve"> the directors in discharging their responsibilit</w:t>
      </w:r>
      <w:r w:rsidR="00433A38" w:rsidRPr="002757B2">
        <w:rPr>
          <w:rFonts w:ascii="Arial" w:hAnsi="Arial" w:cs="Arial"/>
          <w:color w:val="000000" w:themeColor="text1"/>
          <w:sz w:val="20"/>
          <w:szCs w:val="20"/>
        </w:rPr>
        <w:t>ies</w:t>
      </w:r>
      <w:r w:rsidR="00D0685C" w:rsidRPr="002757B2">
        <w:rPr>
          <w:rFonts w:ascii="Arial" w:hAnsi="Arial" w:cs="Arial"/>
          <w:color w:val="000000" w:themeColor="text1"/>
          <w:sz w:val="20"/>
          <w:szCs w:val="20"/>
        </w:rPr>
        <w:t xml:space="preserve"> </w:t>
      </w:r>
      <w:r w:rsidR="00B91979" w:rsidRPr="002757B2">
        <w:rPr>
          <w:rFonts w:ascii="Arial" w:hAnsi="Arial" w:cs="Arial"/>
          <w:color w:val="000000" w:themeColor="text1"/>
          <w:sz w:val="20"/>
          <w:szCs w:val="20"/>
        </w:rPr>
        <w:t xml:space="preserve">for overseeing the </w:t>
      </w:r>
      <w:r w:rsidR="00BD5FF4" w:rsidRPr="002757B2">
        <w:rPr>
          <w:rFonts w:ascii="Arial" w:hAnsi="Arial" w:cs="Arial"/>
          <w:color w:val="000000" w:themeColor="text1"/>
          <w:sz w:val="20"/>
          <w:szCs w:val="20"/>
        </w:rPr>
        <w:t>Group</w:t>
      </w:r>
      <w:r w:rsidR="00AA3D7F" w:rsidRPr="002757B2">
        <w:rPr>
          <w:rFonts w:ascii="Arial" w:hAnsi="Arial" w:cs="Arial"/>
          <w:color w:val="000000" w:themeColor="text1"/>
          <w:sz w:val="20"/>
          <w:szCs w:val="20"/>
        </w:rPr>
        <w:t>’s</w:t>
      </w:r>
      <w:r w:rsidR="00BD5FF4" w:rsidRPr="002757B2">
        <w:rPr>
          <w:rFonts w:ascii="Arial" w:hAnsi="Arial" w:cs="Arial"/>
          <w:color w:val="000000" w:themeColor="text1"/>
          <w:sz w:val="20"/>
          <w:szCs w:val="20"/>
        </w:rPr>
        <w:t xml:space="preserve"> and </w:t>
      </w:r>
      <w:r w:rsidR="007A3ACC" w:rsidRPr="002757B2">
        <w:rPr>
          <w:rFonts w:ascii="Arial" w:hAnsi="Arial" w:cs="Arial"/>
          <w:color w:val="000000" w:themeColor="text1"/>
          <w:sz w:val="20"/>
          <w:szCs w:val="20"/>
        </w:rPr>
        <w:t xml:space="preserve">the </w:t>
      </w:r>
      <w:r w:rsidR="00B91979" w:rsidRPr="002757B2">
        <w:rPr>
          <w:rFonts w:ascii="Arial" w:hAnsi="Arial" w:cs="Arial"/>
          <w:color w:val="000000" w:themeColor="text1"/>
          <w:sz w:val="20"/>
          <w:szCs w:val="20"/>
        </w:rPr>
        <w:t xml:space="preserve">Company’s financial reporting process. </w:t>
      </w:r>
    </w:p>
    <w:p w14:paraId="4410CCC3" w14:textId="77777777" w:rsidR="00620568" w:rsidRPr="002757B2" w:rsidRDefault="00620568" w:rsidP="00F67AF3">
      <w:pPr>
        <w:pStyle w:val="Default"/>
        <w:jc w:val="thaiDistribute"/>
        <w:rPr>
          <w:b/>
          <w:bCs/>
          <w:color w:val="000000" w:themeColor="text1"/>
          <w:sz w:val="20"/>
          <w:szCs w:val="20"/>
        </w:rPr>
      </w:pPr>
    </w:p>
    <w:p w14:paraId="4785C7B7" w14:textId="77777777" w:rsidR="00210672" w:rsidRDefault="00210672" w:rsidP="00F67AF3">
      <w:pPr>
        <w:pStyle w:val="Default"/>
        <w:jc w:val="thaiDistribute"/>
        <w:rPr>
          <w:rFonts w:ascii="Arial Bold" w:eastAsia="Calibri" w:hAnsi="Arial Bold" w:cstheme="minorBidi"/>
          <w:b/>
          <w:bCs/>
          <w:color w:val="CF4A02"/>
          <w:sz w:val="20"/>
          <w:szCs w:val="20"/>
        </w:rPr>
      </w:pPr>
    </w:p>
    <w:p w14:paraId="5B0F660F" w14:textId="77777777" w:rsidR="00210672" w:rsidRDefault="00210672" w:rsidP="00F67AF3">
      <w:pPr>
        <w:pStyle w:val="Default"/>
        <w:jc w:val="thaiDistribute"/>
        <w:rPr>
          <w:rFonts w:ascii="Arial Bold" w:eastAsia="Calibri" w:hAnsi="Arial Bold" w:cstheme="minorBidi"/>
          <w:b/>
          <w:bCs/>
          <w:color w:val="CF4A02"/>
          <w:sz w:val="20"/>
          <w:szCs w:val="20"/>
        </w:rPr>
      </w:pPr>
    </w:p>
    <w:p w14:paraId="5BDDB528" w14:textId="06F9F0B9" w:rsidR="00210672" w:rsidRDefault="00210672" w:rsidP="00F67AF3">
      <w:pPr>
        <w:pStyle w:val="Default"/>
        <w:jc w:val="thaiDistribute"/>
        <w:rPr>
          <w:rFonts w:ascii="Arial Bold" w:eastAsia="Calibri" w:hAnsi="Arial Bold" w:cstheme="minorBidi"/>
          <w:b/>
          <w:bCs/>
          <w:color w:val="CF4A02"/>
          <w:sz w:val="20"/>
          <w:szCs w:val="20"/>
        </w:rPr>
      </w:pPr>
    </w:p>
    <w:p w14:paraId="3D94AA2C" w14:textId="5028B9C3" w:rsidR="00B15C07" w:rsidRDefault="00B15C07">
      <w:pPr>
        <w:rPr>
          <w:rFonts w:ascii="Arial Bold" w:eastAsia="Calibri" w:hAnsi="Arial Bold"/>
          <w:b/>
          <w:bCs/>
          <w:color w:val="CF4A02"/>
          <w:sz w:val="20"/>
          <w:szCs w:val="20"/>
        </w:rPr>
      </w:pPr>
      <w:r>
        <w:rPr>
          <w:rFonts w:ascii="Arial Bold" w:eastAsia="Calibri" w:hAnsi="Arial Bold"/>
          <w:b/>
          <w:bCs/>
          <w:color w:val="CF4A02"/>
          <w:sz w:val="20"/>
          <w:szCs w:val="20"/>
        </w:rPr>
        <w:br w:type="page"/>
      </w:r>
    </w:p>
    <w:p w14:paraId="538C34BF" w14:textId="637BADD3" w:rsidR="00620568" w:rsidRPr="002757B2" w:rsidRDefault="00E07F94" w:rsidP="00F67AF3">
      <w:pPr>
        <w:pStyle w:val="Default"/>
        <w:jc w:val="thaiDistribute"/>
        <w:rPr>
          <w:rFonts w:ascii="Arial Bold" w:eastAsia="Calibri" w:hAnsi="Arial Bold"/>
          <w:b/>
          <w:bCs/>
          <w:color w:val="CF4A02"/>
          <w:sz w:val="20"/>
          <w:szCs w:val="20"/>
        </w:rPr>
      </w:pPr>
      <w:r w:rsidRPr="002757B2">
        <w:rPr>
          <w:rFonts w:ascii="Arial Bold" w:eastAsia="Calibri" w:hAnsi="Arial Bold"/>
          <w:b/>
          <w:bCs/>
          <w:color w:val="CF4A02"/>
          <w:sz w:val="20"/>
          <w:szCs w:val="20"/>
        </w:rPr>
        <w:lastRenderedPageBreak/>
        <w:t>Auditor’s r</w:t>
      </w:r>
      <w:r w:rsidR="00790517" w:rsidRPr="002757B2">
        <w:rPr>
          <w:rFonts w:ascii="Arial Bold" w:eastAsia="Calibri" w:hAnsi="Arial Bold"/>
          <w:b/>
          <w:bCs/>
          <w:color w:val="CF4A02"/>
          <w:sz w:val="20"/>
          <w:szCs w:val="20"/>
        </w:rPr>
        <w:t xml:space="preserve">esponsibilities for the </w:t>
      </w:r>
      <w:r w:rsidRPr="002757B2">
        <w:rPr>
          <w:rFonts w:ascii="Arial Bold" w:eastAsia="Calibri" w:hAnsi="Arial Bold"/>
          <w:b/>
          <w:bCs/>
          <w:color w:val="CF4A02"/>
          <w:sz w:val="20"/>
          <w:szCs w:val="20"/>
        </w:rPr>
        <w:t>a</w:t>
      </w:r>
      <w:r w:rsidR="00790517" w:rsidRPr="002757B2">
        <w:rPr>
          <w:rFonts w:ascii="Arial Bold" w:eastAsia="Calibri" w:hAnsi="Arial Bold"/>
          <w:b/>
          <w:bCs/>
          <w:color w:val="CF4A02"/>
          <w:sz w:val="20"/>
          <w:szCs w:val="20"/>
        </w:rPr>
        <w:t xml:space="preserve">udit of the </w:t>
      </w:r>
      <w:r w:rsidRPr="002757B2">
        <w:rPr>
          <w:rFonts w:ascii="Arial Bold" w:eastAsia="Calibri" w:hAnsi="Arial Bold"/>
          <w:b/>
          <w:bCs/>
          <w:color w:val="CF4A02"/>
          <w:sz w:val="20"/>
          <w:szCs w:val="20"/>
        </w:rPr>
        <w:t>c</w:t>
      </w:r>
      <w:r w:rsidR="00900250" w:rsidRPr="002757B2">
        <w:rPr>
          <w:rFonts w:ascii="Arial Bold" w:eastAsia="Calibri" w:hAnsi="Arial Bold"/>
          <w:b/>
          <w:bCs/>
          <w:color w:val="CF4A02"/>
          <w:sz w:val="20"/>
          <w:szCs w:val="20"/>
        </w:rPr>
        <w:t xml:space="preserve">onsolidated and </w:t>
      </w:r>
      <w:r w:rsidRPr="002757B2">
        <w:rPr>
          <w:rFonts w:ascii="Arial Bold" w:eastAsia="Calibri" w:hAnsi="Arial Bold"/>
          <w:b/>
          <w:bCs/>
          <w:color w:val="CF4A02"/>
          <w:sz w:val="20"/>
          <w:szCs w:val="20"/>
        </w:rPr>
        <w:t>s</w:t>
      </w:r>
      <w:r w:rsidR="00D0685C" w:rsidRPr="002757B2">
        <w:rPr>
          <w:rFonts w:ascii="Arial Bold" w:eastAsia="Calibri" w:hAnsi="Arial Bold"/>
          <w:b/>
          <w:bCs/>
          <w:color w:val="CF4A02"/>
          <w:sz w:val="20"/>
          <w:szCs w:val="20"/>
        </w:rPr>
        <w:t xml:space="preserve">eparate </w:t>
      </w:r>
      <w:r w:rsidRPr="002757B2">
        <w:rPr>
          <w:rFonts w:ascii="Arial Bold" w:eastAsia="Calibri" w:hAnsi="Arial Bold"/>
          <w:b/>
          <w:bCs/>
          <w:color w:val="CF4A02"/>
          <w:sz w:val="20"/>
          <w:szCs w:val="20"/>
        </w:rPr>
        <w:t>f</w:t>
      </w:r>
      <w:r w:rsidR="00790517" w:rsidRPr="002757B2">
        <w:rPr>
          <w:rFonts w:ascii="Arial Bold" w:eastAsia="Calibri" w:hAnsi="Arial Bold"/>
          <w:b/>
          <w:bCs/>
          <w:color w:val="CF4A02"/>
          <w:sz w:val="20"/>
          <w:szCs w:val="20"/>
        </w:rPr>
        <w:t xml:space="preserve">inancial </w:t>
      </w:r>
      <w:r w:rsidRPr="002757B2">
        <w:rPr>
          <w:rFonts w:ascii="Arial Bold" w:eastAsia="Calibri" w:hAnsi="Arial Bold"/>
          <w:b/>
          <w:bCs/>
          <w:color w:val="CF4A02"/>
          <w:sz w:val="20"/>
          <w:szCs w:val="20"/>
        </w:rPr>
        <w:t>s</w:t>
      </w:r>
      <w:r w:rsidR="00790517" w:rsidRPr="002757B2">
        <w:rPr>
          <w:rFonts w:ascii="Arial Bold" w:eastAsia="Calibri" w:hAnsi="Arial Bold"/>
          <w:b/>
          <w:bCs/>
          <w:color w:val="CF4A02"/>
          <w:sz w:val="20"/>
          <w:szCs w:val="20"/>
        </w:rPr>
        <w:t>tatements</w:t>
      </w:r>
    </w:p>
    <w:p w14:paraId="44D07068" w14:textId="77777777" w:rsidR="003D3D27" w:rsidRPr="002757B2" w:rsidRDefault="003D3D27" w:rsidP="00F67AF3">
      <w:pPr>
        <w:pStyle w:val="Default"/>
        <w:jc w:val="thaiDistribute"/>
        <w:rPr>
          <w:rFonts w:eastAsia="Calibri"/>
          <w:b/>
          <w:bCs/>
          <w:color w:val="000000" w:themeColor="text1"/>
          <w:sz w:val="20"/>
          <w:szCs w:val="20"/>
        </w:rPr>
      </w:pPr>
    </w:p>
    <w:p w14:paraId="0B752AA3" w14:textId="77777777" w:rsidR="00B91979" w:rsidRPr="002757B2" w:rsidRDefault="00B91979" w:rsidP="00F67AF3">
      <w:pPr>
        <w:pStyle w:val="Default"/>
        <w:jc w:val="thaiDistribute"/>
        <w:rPr>
          <w:color w:val="000000" w:themeColor="text1"/>
          <w:sz w:val="20"/>
          <w:szCs w:val="20"/>
        </w:rPr>
      </w:pPr>
      <w:r w:rsidRPr="002757B2">
        <w:rPr>
          <w:color w:val="000000" w:themeColor="text1"/>
          <w:sz w:val="20"/>
          <w:szCs w:val="20"/>
        </w:rPr>
        <w:t xml:space="preserve">My objectives are to obtain reasonable assurance about whether the </w:t>
      </w:r>
      <w:r w:rsidR="00E07F94" w:rsidRPr="002757B2">
        <w:rPr>
          <w:color w:val="000000" w:themeColor="text1"/>
          <w:sz w:val="20"/>
          <w:szCs w:val="20"/>
        </w:rPr>
        <w:t xml:space="preserve">consolidated and </w:t>
      </w:r>
      <w:r w:rsidR="006A1977" w:rsidRPr="002757B2">
        <w:rPr>
          <w:color w:val="000000" w:themeColor="text1"/>
          <w:sz w:val="20"/>
          <w:szCs w:val="20"/>
        </w:rPr>
        <w:t>separate</w:t>
      </w:r>
      <w:r w:rsidR="00900250" w:rsidRPr="002757B2">
        <w:rPr>
          <w:color w:val="000000" w:themeColor="text1"/>
          <w:sz w:val="20"/>
          <w:szCs w:val="20"/>
        </w:rPr>
        <w:t xml:space="preserve"> </w:t>
      </w:r>
      <w:r w:rsidRPr="002757B2">
        <w:rPr>
          <w:color w:val="000000" w:themeColor="text1"/>
          <w:sz w:val="20"/>
          <w:szCs w:val="20"/>
        </w:rPr>
        <w:t xml:space="preserve">financial statements </w:t>
      </w:r>
      <w:proofErr w:type="gramStart"/>
      <w:r w:rsidRPr="002757B2">
        <w:rPr>
          <w:color w:val="000000" w:themeColor="text1"/>
          <w:sz w:val="20"/>
          <w:szCs w:val="20"/>
        </w:rPr>
        <w:t>as a whole are</w:t>
      </w:r>
      <w:proofErr w:type="gramEnd"/>
      <w:r w:rsidRPr="002757B2">
        <w:rPr>
          <w:color w:val="000000" w:themeColor="text1"/>
          <w:sz w:val="20"/>
          <w:szCs w:val="20"/>
        </w:rPr>
        <w:t xml:space="preserve"> free from material misstatement, whether due to fraud or error, and to issue </w:t>
      </w:r>
      <w:r w:rsidRPr="00A92691">
        <w:rPr>
          <w:color w:val="000000" w:themeColor="text1"/>
          <w:spacing w:val="-4"/>
          <w:sz w:val="20"/>
          <w:szCs w:val="20"/>
        </w:rPr>
        <w:t xml:space="preserve">an auditor’s report that includes my opinion. Reasonable assurance is a high level of </w:t>
      </w:r>
      <w:proofErr w:type="gramStart"/>
      <w:r w:rsidRPr="00A92691">
        <w:rPr>
          <w:color w:val="000000" w:themeColor="text1"/>
          <w:spacing w:val="-4"/>
          <w:sz w:val="20"/>
          <w:szCs w:val="20"/>
        </w:rPr>
        <w:t>assurance, but</w:t>
      </w:r>
      <w:proofErr w:type="gramEnd"/>
      <w:r w:rsidRPr="00A92691">
        <w:rPr>
          <w:color w:val="000000" w:themeColor="text1"/>
          <w:spacing w:val="-4"/>
          <w:sz w:val="20"/>
          <w:szCs w:val="20"/>
        </w:rPr>
        <w:t xml:space="preserve"> is not</w:t>
      </w:r>
      <w:r w:rsidRPr="002757B2">
        <w:rPr>
          <w:color w:val="000000" w:themeColor="text1"/>
          <w:sz w:val="20"/>
          <w:szCs w:val="20"/>
        </w:rPr>
        <w:t xml:space="preserve">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2757B2">
        <w:rPr>
          <w:color w:val="000000" w:themeColor="text1"/>
          <w:sz w:val="20"/>
          <w:szCs w:val="20"/>
        </w:rPr>
        <w:t>on the basis of</w:t>
      </w:r>
      <w:proofErr w:type="gramEnd"/>
      <w:r w:rsidRPr="002757B2">
        <w:rPr>
          <w:color w:val="000000" w:themeColor="text1"/>
          <w:sz w:val="20"/>
          <w:szCs w:val="20"/>
        </w:rPr>
        <w:t xml:space="preserve"> these </w:t>
      </w:r>
      <w:r w:rsidR="00900250" w:rsidRPr="002757B2">
        <w:rPr>
          <w:color w:val="000000" w:themeColor="text1"/>
          <w:sz w:val="20"/>
          <w:szCs w:val="20"/>
        </w:rPr>
        <w:t xml:space="preserve">consolidated and </w:t>
      </w:r>
      <w:r w:rsidR="00D0685C" w:rsidRPr="002757B2">
        <w:rPr>
          <w:color w:val="000000" w:themeColor="text1"/>
          <w:sz w:val="20"/>
          <w:szCs w:val="20"/>
        </w:rPr>
        <w:t xml:space="preserve">separate </w:t>
      </w:r>
      <w:r w:rsidRPr="002757B2">
        <w:rPr>
          <w:color w:val="000000" w:themeColor="text1"/>
          <w:sz w:val="20"/>
          <w:szCs w:val="20"/>
        </w:rPr>
        <w:t>financial statements.</w:t>
      </w:r>
    </w:p>
    <w:p w14:paraId="28F1756D" w14:textId="77777777" w:rsidR="00B91979" w:rsidRPr="002757B2" w:rsidRDefault="00B91979" w:rsidP="00F67AF3">
      <w:pPr>
        <w:pStyle w:val="Default"/>
        <w:jc w:val="thaiDistribute"/>
        <w:rPr>
          <w:color w:val="000000" w:themeColor="text1"/>
          <w:sz w:val="20"/>
          <w:szCs w:val="20"/>
        </w:rPr>
      </w:pPr>
    </w:p>
    <w:p w14:paraId="523291A4" w14:textId="77777777" w:rsidR="00B91979" w:rsidRPr="002757B2" w:rsidRDefault="00B91979" w:rsidP="00F67AF3">
      <w:pPr>
        <w:pStyle w:val="Default"/>
        <w:jc w:val="thaiDistribute"/>
        <w:rPr>
          <w:color w:val="000000" w:themeColor="text1"/>
          <w:sz w:val="20"/>
          <w:szCs w:val="20"/>
        </w:rPr>
      </w:pPr>
      <w:r w:rsidRPr="002757B2">
        <w:rPr>
          <w:color w:val="000000" w:themeColor="text1"/>
          <w:sz w:val="20"/>
          <w:szCs w:val="20"/>
        </w:rPr>
        <w:t>As part of an audit in accordance with TSAs, I exercise professional judg</w:t>
      </w:r>
      <w:r w:rsidR="002E62F0" w:rsidRPr="002757B2">
        <w:rPr>
          <w:color w:val="000000" w:themeColor="text1"/>
          <w:sz w:val="20"/>
          <w:szCs w:val="20"/>
        </w:rPr>
        <w:t>e</w:t>
      </w:r>
      <w:r w:rsidRPr="002757B2">
        <w:rPr>
          <w:color w:val="000000" w:themeColor="text1"/>
          <w:sz w:val="20"/>
          <w:szCs w:val="20"/>
        </w:rPr>
        <w:t>m</w:t>
      </w:r>
      <w:r w:rsidR="00A00386" w:rsidRPr="002757B2">
        <w:rPr>
          <w:color w:val="000000" w:themeColor="text1"/>
          <w:sz w:val="20"/>
          <w:szCs w:val="20"/>
        </w:rPr>
        <w:t xml:space="preserve">ent and maintain professional </w:t>
      </w:r>
      <w:r w:rsidR="007B209C" w:rsidRPr="002757B2">
        <w:rPr>
          <w:color w:val="000000" w:themeColor="text1"/>
          <w:sz w:val="20"/>
          <w:szCs w:val="20"/>
        </w:rPr>
        <w:t>s</w:t>
      </w:r>
      <w:r w:rsidR="007A3ACC" w:rsidRPr="002757B2">
        <w:rPr>
          <w:color w:val="000000" w:themeColor="text1"/>
          <w:sz w:val="20"/>
          <w:szCs w:val="20"/>
        </w:rPr>
        <w:t>c</w:t>
      </w:r>
      <w:r w:rsidRPr="002757B2">
        <w:rPr>
          <w:color w:val="000000" w:themeColor="text1"/>
          <w:sz w:val="20"/>
          <w:szCs w:val="20"/>
        </w:rPr>
        <w:t xml:space="preserve">epticism throughout the audit. I also: </w:t>
      </w:r>
    </w:p>
    <w:p w14:paraId="790A1F82" w14:textId="77777777" w:rsidR="000D55B0" w:rsidRPr="002757B2" w:rsidRDefault="000D55B0" w:rsidP="00F67AF3">
      <w:pPr>
        <w:pStyle w:val="Default"/>
        <w:jc w:val="thaiDistribute"/>
        <w:rPr>
          <w:color w:val="000000" w:themeColor="text1"/>
          <w:sz w:val="20"/>
          <w:szCs w:val="20"/>
        </w:rPr>
      </w:pPr>
    </w:p>
    <w:p w14:paraId="1467C3C0" w14:textId="77777777" w:rsidR="0049535D" w:rsidRPr="002757B2" w:rsidRDefault="00FE6CF3" w:rsidP="00F67AF3">
      <w:pPr>
        <w:pStyle w:val="Default"/>
        <w:numPr>
          <w:ilvl w:val="0"/>
          <w:numId w:val="1"/>
        </w:numPr>
        <w:tabs>
          <w:tab w:val="clear" w:pos="720"/>
          <w:tab w:val="num" w:pos="540"/>
        </w:tabs>
        <w:ind w:left="540"/>
        <w:jc w:val="thaiDistribute"/>
        <w:rPr>
          <w:color w:val="000000" w:themeColor="text1"/>
          <w:sz w:val="20"/>
          <w:szCs w:val="20"/>
        </w:rPr>
      </w:pPr>
      <w:r w:rsidRPr="002757B2">
        <w:rPr>
          <w:color w:val="000000" w:themeColor="text1"/>
          <w:sz w:val="20"/>
          <w:szCs w:val="20"/>
        </w:rPr>
        <w:t>Identify and assess the risks of material misstatement of the</w:t>
      </w:r>
      <w:r w:rsidR="00900250" w:rsidRPr="002757B2">
        <w:rPr>
          <w:color w:val="000000" w:themeColor="text1"/>
          <w:sz w:val="20"/>
          <w:szCs w:val="20"/>
        </w:rPr>
        <w:t xml:space="preserve"> consolidated and </w:t>
      </w:r>
      <w:r w:rsidR="00D0685C" w:rsidRPr="002757B2">
        <w:rPr>
          <w:color w:val="000000" w:themeColor="text1"/>
          <w:sz w:val="20"/>
          <w:szCs w:val="20"/>
        </w:rPr>
        <w:t xml:space="preserve">separate </w:t>
      </w:r>
      <w:r w:rsidRPr="002757B2">
        <w:rPr>
          <w:color w:val="000000" w:themeColor="text1"/>
          <w:sz w:val="20"/>
          <w:szCs w:val="20"/>
        </w:rPr>
        <w:t xml:space="preserve">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6BCD6A99" w14:textId="77777777" w:rsidR="00240078" w:rsidRPr="002757B2" w:rsidRDefault="00240078" w:rsidP="00F67AF3">
      <w:pPr>
        <w:pStyle w:val="Default"/>
        <w:ind w:left="540"/>
        <w:jc w:val="thaiDistribute"/>
        <w:rPr>
          <w:color w:val="000000" w:themeColor="text1"/>
          <w:sz w:val="12"/>
          <w:szCs w:val="12"/>
        </w:rPr>
      </w:pPr>
    </w:p>
    <w:p w14:paraId="427F6538" w14:textId="556C90F0" w:rsidR="0049535D" w:rsidRPr="00210672" w:rsidRDefault="00FE6CF3" w:rsidP="00F67AF3">
      <w:pPr>
        <w:pStyle w:val="Default"/>
        <w:numPr>
          <w:ilvl w:val="0"/>
          <w:numId w:val="1"/>
        </w:numPr>
        <w:tabs>
          <w:tab w:val="clear" w:pos="720"/>
          <w:tab w:val="num" w:pos="540"/>
        </w:tabs>
        <w:ind w:left="540"/>
        <w:jc w:val="thaiDistribute"/>
        <w:rPr>
          <w:color w:val="000000" w:themeColor="text1"/>
          <w:sz w:val="20"/>
          <w:szCs w:val="20"/>
        </w:rPr>
      </w:pPr>
      <w:r w:rsidRPr="002757B2">
        <w:rPr>
          <w:color w:val="000000" w:themeColor="text1"/>
          <w:sz w:val="20"/>
          <w:szCs w:val="20"/>
        </w:rPr>
        <w:t xml:space="preserve">Obtain an understanding of internal control relevant to the audit </w:t>
      </w:r>
      <w:proofErr w:type="gramStart"/>
      <w:r w:rsidRPr="002757B2">
        <w:rPr>
          <w:color w:val="000000" w:themeColor="text1"/>
          <w:sz w:val="20"/>
          <w:szCs w:val="20"/>
        </w:rPr>
        <w:t>in order to</w:t>
      </w:r>
      <w:proofErr w:type="gramEnd"/>
      <w:r w:rsidRPr="002757B2">
        <w:rPr>
          <w:color w:val="000000" w:themeColor="text1"/>
          <w:sz w:val="20"/>
          <w:szCs w:val="20"/>
        </w:rPr>
        <w:t xml:space="preserve"> design audit procedures that are appropriate in the circumstances, but not for the purpose of expressing an opinion on the effectiveness of the </w:t>
      </w:r>
      <w:r w:rsidR="00653860" w:rsidRPr="002757B2">
        <w:rPr>
          <w:color w:val="000000" w:themeColor="text1"/>
          <w:sz w:val="20"/>
          <w:szCs w:val="20"/>
        </w:rPr>
        <w:t>Group</w:t>
      </w:r>
      <w:r w:rsidR="00AA3D7F" w:rsidRPr="002757B2">
        <w:rPr>
          <w:color w:val="000000" w:themeColor="text1"/>
          <w:sz w:val="20"/>
          <w:szCs w:val="20"/>
        </w:rPr>
        <w:t>’s</w:t>
      </w:r>
      <w:r w:rsidR="00653860" w:rsidRPr="002757B2">
        <w:rPr>
          <w:color w:val="000000" w:themeColor="text1"/>
          <w:sz w:val="20"/>
          <w:szCs w:val="20"/>
        </w:rPr>
        <w:t xml:space="preserve"> and </w:t>
      </w:r>
      <w:r w:rsidR="007A3ACC" w:rsidRPr="002757B2">
        <w:rPr>
          <w:color w:val="000000" w:themeColor="text1"/>
          <w:sz w:val="20"/>
          <w:szCs w:val="20"/>
        </w:rPr>
        <w:t xml:space="preserve">the </w:t>
      </w:r>
      <w:r w:rsidRPr="002757B2">
        <w:rPr>
          <w:color w:val="000000" w:themeColor="text1"/>
          <w:sz w:val="20"/>
          <w:szCs w:val="20"/>
        </w:rPr>
        <w:t xml:space="preserve">Company’s internal control. </w:t>
      </w:r>
    </w:p>
    <w:p w14:paraId="41011E41" w14:textId="77777777" w:rsidR="00210672" w:rsidRDefault="00210672" w:rsidP="00210672">
      <w:pPr>
        <w:pStyle w:val="Default"/>
        <w:ind w:left="540"/>
        <w:jc w:val="thaiDistribute"/>
        <w:rPr>
          <w:color w:val="000000" w:themeColor="text1"/>
          <w:sz w:val="20"/>
          <w:szCs w:val="20"/>
        </w:rPr>
      </w:pPr>
    </w:p>
    <w:p w14:paraId="32F9C4A9" w14:textId="77777777" w:rsidR="00915805" w:rsidRDefault="00FE6CF3" w:rsidP="00915805">
      <w:pPr>
        <w:pStyle w:val="Default"/>
        <w:numPr>
          <w:ilvl w:val="0"/>
          <w:numId w:val="1"/>
        </w:numPr>
        <w:tabs>
          <w:tab w:val="clear" w:pos="720"/>
          <w:tab w:val="num" w:pos="540"/>
        </w:tabs>
        <w:ind w:left="540"/>
        <w:jc w:val="thaiDistribute"/>
        <w:rPr>
          <w:color w:val="000000" w:themeColor="text1"/>
          <w:sz w:val="20"/>
          <w:szCs w:val="20"/>
        </w:rPr>
      </w:pPr>
      <w:r w:rsidRPr="002757B2">
        <w:rPr>
          <w:color w:val="000000" w:themeColor="text1"/>
          <w:sz w:val="20"/>
          <w:szCs w:val="20"/>
        </w:rPr>
        <w:t xml:space="preserve">Evaluate the appropriateness of accounting policies used and the reasonableness of accounting estimates and related disclosures made by </w:t>
      </w:r>
      <w:r w:rsidR="00D0685C" w:rsidRPr="002757B2">
        <w:rPr>
          <w:color w:val="000000" w:themeColor="text1"/>
          <w:sz w:val="20"/>
          <w:szCs w:val="20"/>
        </w:rPr>
        <w:t>the directors</w:t>
      </w:r>
      <w:r w:rsidRPr="002757B2">
        <w:rPr>
          <w:color w:val="000000" w:themeColor="text1"/>
          <w:sz w:val="20"/>
          <w:szCs w:val="20"/>
        </w:rPr>
        <w:t xml:space="preserve">. </w:t>
      </w:r>
    </w:p>
    <w:p w14:paraId="4ACD0854" w14:textId="77777777" w:rsidR="00915805" w:rsidRDefault="00915805" w:rsidP="00915805">
      <w:pPr>
        <w:pStyle w:val="Default"/>
        <w:ind w:left="540"/>
        <w:jc w:val="thaiDistribute"/>
        <w:rPr>
          <w:color w:val="000000" w:themeColor="text1"/>
          <w:sz w:val="20"/>
          <w:szCs w:val="20"/>
        </w:rPr>
      </w:pPr>
    </w:p>
    <w:p w14:paraId="1682618B" w14:textId="6FB3271F" w:rsidR="00411C81" w:rsidRPr="00915805" w:rsidRDefault="00FE6CF3" w:rsidP="00915805">
      <w:pPr>
        <w:pStyle w:val="Default"/>
        <w:numPr>
          <w:ilvl w:val="0"/>
          <w:numId w:val="1"/>
        </w:numPr>
        <w:tabs>
          <w:tab w:val="clear" w:pos="720"/>
          <w:tab w:val="num" w:pos="540"/>
        </w:tabs>
        <w:ind w:left="540"/>
        <w:jc w:val="thaiDistribute"/>
        <w:rPr>
          <w:color w:val="000000" w:themeColor="text1"/>
          <w:sz w:val="20"/>
          <w:szCs w:val="20"/>
        </w:rPr>
      </w:pPr>
      <w:r w:rsidRPr="00915805">
        <w:rPr>
          <w:color w:val="000000" w:themeColor="text1"/>
          <w:sz w:val="20"/>
          <w:szCs w:val="20"/>
        </w:rPr>
        <w:t xml:space="preserve">Conclude on the appropriateness of </w:t>
      </w:r>
      <w:r w:rsidR="00D0685C" w:rsidRPr="00915805">
        <w:rPr>
          <w:color w:val="000000" w:themeColor="text1"/>
          <w:sz w:val="20"/>
          <w:szCs w:val="20"/>
        </w:rPr>
        <w:t>the directors’</w:t>
      </w:r>
      <w:r w:rsidRPr="00915805">
        <w:rPr>
          <w:color w:val="000000" w:themeColor="text1"/>
          <w:sz w:val="20"/>
          <w:szCs w:val="20"/>
        </w:rPr>
        <w:t xml:space="preserve"> use of the going concern basis of accounting and, based on the audit evidence obtained, whether a material uncertainty exists related to events or conditions that may cast significant doubt on the </w:t>
      </w:r>
      <w:r w:rsidR="00900250" w:rsidRPr="00915805">
        <w:rPr>
          <w:color w:val="000000" w:themeColor="text1"/>
          <w:sz w:val="20"/>
          <w:szCs w:val="20"/>
        </w:rPr>
        <w:t>Group</w:t>
      </w:r>
      <w:r w:rsidR="00AA3D7F" w:rsidRPr="00915805">
        <w:rPr>
          <w:color w:val="000000" w:themeColor="text1"/>
          <w:sz w:val="20"/>
          <w:szCs w:val="20"/>
        </w:rPr>
        <w:t>’s</w:t>
      </w:r>
      <w:r w:rsidR="00900250" w:rsidRPr="00915805">
        <w:rPr>
          <w:color w:val="000000" w:themeColor="text1"/>
          <w:sz w:val="20"/>
          <w:szCs w:val="20"/>
        </w:rPr>
        <w:t xml:space="preserve"> and </w:t>
      </w:r>
      <w:r w:rsidR="007A3ACC" w:rsidRPr="00915805">
        <w:rPr>
          <w:color w:val="000000" w:themeColor="text1"/>
          <w:sz w:val="20"/>
          <w:szCs w:val="20"/>
        </w:rPr>
        <w:t xml:space="preserve">the </w:t>
      </w:r>
      <w:r w:rsidRPr="00915805">
        <w:rPr>
          <w:color w:val="000000" w:themeColor="text1"/>
          <w:sz w:val="20"/>
          <w:szCs w:val="20"/>
        </w:rPr>
        <w:t xml:space="preserve">Company’s ability to continue as a going concern. If I conclude that a material uncertainty exists, I am required to draw attention </w:t>
      </w:r>
      <w:r w:rsidRPr="00915805">
        <w:rPr>
          <w:color w:val="000000" w:themeColor="text1"/>
          <w:spacing w:val="-4"/>
          <w:sz w:val="20"/>
          <w:szCs w:val="20"/>
        </w:rPr>
        <w:t>in my auditor’s report to the related disclosures in the</w:t>
      </w:r>
      <w:r w:rsidR="00D11F81" w:rsidRPr="00915805">
        <w:rPr>
          <w:color w:val="000000" w:themeColor="text1"/>
          <w:spacing w:val="-4"/>
          <w:sz w:val="20"/>
          <w:szCs w:val="20"/>
        </w:rPr>
        <w:t xml:space="preserve"> consolidated and </w:t>
      </w:r>
      <w:r w:rsidR="00D0685C" w:rsidRPr="00915805">
        <w:rPr>
          <w:color w:val="000000" w:themeColor="text1"/>
          <w:spacing w:val="-4"/>
          <w:sz w:val="20"/>
          <w:szCs w:val="20"/>
        </w:rPr>
        <w:t xml:space="preserve">separate </w:t>
      </w:r>
      <w:r w:rsidRPr="00915805">
        <w:rPr>
          <w:color w:val="000000" w:themeColor="text1"/>
          <w:spacing w:val="-4"/>
          <w:sz w:val="20"/>
          <w:szCs w:val="20"/>
        </w:rPr>
        <w:t>financial statements</w:t>
      </w:r>
      <w:r w:rsidRPr="00915805">
        <w:rPr>
          <w:color w:val="000000" w:themeColor="text1"/>
          <w:sz w:val="20"/>
          <w:szCs w:val="20"/>
        </w:rPr>
        <w:t xml:space="preserve"> or, if such disclosures are inadequate, to modify my opinion. My conclusions are based on the audit evidence obtained up to the date of my auditor’s report. However, future events or conditions may cause the </w:t>
      </w:r>
      <w:r w:rsidR="00900250" w:rsidRPr="00915805">
        <w:rPr>
          <w:color w:val="000000" w:themeColor="text1"/>
          <w:sz w:val="20"/>
          <w:szCs w:val="20"/>
        </w:rPr>
        <w:t xml:space="preserve">Group and </w:t>
      </w:r>
      <w:r w:rsidR="007A3ACC" w:rsidRPr="00915805">
        <w:rPr>
          <w:color w:val="000000" w:themeColor="text1"/>
          <w:sz w:val="20"/>
          <w:szCs w:val="20"/>
        </w:rPr>
        <w:t xml:space="preserve">the </w:t>
      </w:r>
      <w:r w:rsidRPr="00915805">
        <w:rPr>
          <w:color w:val="000000" w:themeColor="text1"/>
          <w:sz w:val="20"/>
          <w:szCs w:val="20"/>
        </w:rPr>
        <w:t>Company to cease to continue as a going concern.</w:t>
      </w:r>
    </w:p>
    <w:p w14:paraId="373AE68A" w14:textId="77777777" w:rsidR="00A47487" w:rsidRPr="00411C81" w:rsidRDefault="00A47487" w:rsidP="00411C81">
      <w:pPr>
        <w:pStyle w:val="Default"/>
        <w:tabs>
          <w:tab w:val="num" w:pos="540"/>
        </w:tabs>
        <w:ind w:left="540"/>
        <w:jc w:val="thaiDistribute"/>
        <w:rPr>
          <w:color w:val="000000" w:themeColor="text1"/>
          <w:sz w:val="12"/>
          <w:szCs w:val="12"/>
        </w:rPr>
      </w:pPr>
    </w:p>
    <w:p w14:paraId="55EAA20B" w14:textId="0DFD79EA" w:rsidR="0049535D" w:rsidRPr="002B5EEE" w:rsidRDefault="00FE6CF3" w:rsidP="002B5EEE">
      <w:pPr>
        <w:pStyle w:val="Default"/>
        <w:numPr>
          <w:ilvl w:val="0"/>
          <w:numId w:val="1"/>
        </w:numPr>
        <w:tabs>
          <w:tab w:val="clear" w:pos="720"/>
          <w:tab w:val="num" w:pos="540"/>
        </w:tabs>
        <w:ind w:left="540"/>
        <w:jc w:val="thaiDistribute"/>
        <w:rPr>
          <w:color w:val="000000" w:themeColor="text1"/>
          <w:sz w:val="20"/>
          <w:szCs w:val="20"/>
        </w:rPr>
      </w:pPr>
      <w:r w:rsidRPr="002B5EEE">
        <w:rPr>
          <w:color w:val="000000" w:themeColor="text1"/>
          <w:sz w:val="20"/>
          <w:szCs w:val="20"/>
        </w:rPr>
        <w:t xml:space="preserve">Evaluate the overall presentation, </w:t>
      </w:r>
      <w:proofErr w:type="gramStart"/>
      <w:r w:rsidRPr="002B5EEE">
        <w:rPr>
          <w:color w:val="000000" w:themeColor="text1"/>
          <w:sz w:val="20"/>
          <w:szCs w:val="20"/>
        </w:rPr>
        <w:t>structure</w:t>
      </w:r>
      <w:proofErr w:type="gramEnd"/>
      <w:r w:rsidRPr="002B5EEE">
        <w:rPr>
          <w:color w:val="000000" w:themeColor="text1"/>
          <w:sz w:val="20"/>
          <w:szCs w:val="20"/>
        </w:rPr>
        <w:t xml:space="preserve"> and content of the </w:t>
      </w:r>
      <w:r w:rsidR="00900250" w:rsidRPr="002B5EEE">
        <w:rPr>
          <w:color w:val="000000" w:themeColor="text1"/>
          <w:sz w:val="20"/>
          <w:szCs w:val="20"/>
        </w:rPr>
        <w:t xml:space="preserve">consolidated and </w:t>
      </w:r>
      <w:r w:rsidR="00D0685C" w:rsidRPr="002B5EEE">
        <w:rPr>
          <w:color w:val="000000" w:themeColor="text1"/>
          <w:sz w:val="20"/>
          <w:szCs w:val="20"/>
        </w:rPr>
        <w:t xml:space="preserve">separate </w:t>
      </w:r>
      <w:r w:rsidRPr="002B5EEE">
        <w:rPr>
          <w:color w:val="000000" w:themeColor="text1"/>
          <w:sz w:val="20"/>
          <w:szCs w:val="20"/>
        </w:rPr>
        <w:t xml:space="preserve">financial </w:t>
      </w:r>
      <w:r w:rsidRPr="002B5EEE">
        <w:rPr>
          <w:color w:val="000000" w:themeColor="text1"/>
          <w:spacing w:val="-4"/>
          <w:sz w:val="20"/>
          <w:szCs w:val="20"/>
        </w:rPr>
        <w:t xml:space="preserve">statements, including the disclosures, and whether the </w:t>
      </w:r>
      <w:r w:rsidR="00900250" w:rsidRPr="002B5EEE">
        <w:rPr>
          <w:color w:val="000000" w:themeColor="text1"/>
          <w:spacing w:val="-4"/>
          <w:sz w:val="20"/>
          <w:szCs w:val="20"/>
        </w:rPr>
        <w:t xml:space="preserve">consolidated and </w:t>
      </w:r>
      <w:r w:rsidR="00D0685C" w:rsidRPr="002B5EEE">
        <w:rPr>
          <w:color w:val="000000" w:themeColor="text1"/>
          <w:spacing w:val="-4"/>
          <w:sz w:val="20"/>
          <w:szCs w:val="20"/>
        </w:rPr>
        <w:t xml:space="preserve">separate </w:t>
      </w:r>
      <w:r w:rsidRPr="002B5EEE">
        <w:rPr>
          <w:color w:val="000000" w:themeColor="text1"/>
          <w:spacing w:val="-4"/>
          <w:sz w:val="20"/>
          <w:szCs w:val="20"/>
        </w:rPr>
        <w:t>financial statements</w:t>
      </w:r>
      <w:r w:rsidRPr="002B5EEE">
        <w:rPr>
          <w:color w:val="000000" w:themeColor="text1"/>
          <w:sz w:val="20"/>
          <w:szCs w:val="20"/>
        </w:rPr>
        <w:t xml:space="preserve"> represent the underlying transactions and events in a manner that achieves fair presentation. </w:t>
      </w:r>
    </w:p>
    <w:p w14:paraId="25577230" w14:textId="77777777" w:rsidR="00240078" w:rsidRPr="002757B2" w:rsidRDefault="00240078" w:rsidP="00F67AF3">
      <w:pPr>
        <w:pStyle w:val="Default"/>
        <w:ind w:left="540"/>
        <w:jc w:val="thaiDistribute"/>
        <w:rPr>
          <w:color w:val="000000" w:themeColor="text1"/>
          <w:sz w:val="12"/>
          <w:szCs w:val="12"/>
        </w:rPr>
      </w:pPr>
    </w:p>
    <w:p w14:paraId="26C46E63" w14:textId="77777777" w:rsidR="00B41448" w:rsidRPr="002757B2" w:rsidRDefault="002F280C" w:rsidP="00F67AF3">
      <w:pPr>
        <w:pStyle w:val="Default"/>
        <w:numPr>
          <w:ilvl w:val="0"/>
          <w:numId w:val="1"/>
        </w:numPr>
        <w:tabs>
          <w:tab w:val="clear" w:pos="720"/>
          <w:tab w:val="num" w:pos="540"/>
        </w:tabs>
        <w:ind w:left="540"/>
        <w:jc w:val="thaiDistribute"/>
        <w:rPr>
          <w:color w:val="000000" w:themeColor="text1"/>
          <w:sz w:val="20"/>
          <w:szCs w:val="20"/>
        </w:rPr>
      </w:pPr>
      <w:r w:rsidRPr="002757B2">
        <w:rPr>
          <w:color w:val="000000" w:themeColor="text1"/>
          <w:sz w:val="20"/>
          <w:szCs w:val="20"/>
        </w:rPr>
        <w:t xml:space="preserve">Obtain sufficient appropriate audit evidence regarding the financial information of the entities or business activities within the Group to express an opinion on the consolidated financial statements. I am responsible for the direction, </w:t>
      </w:r>
      <w:proofErr w:type="gramStart"/>
      <w:r w:rsidRPr="002757B2">
        <w:rPr>
          <w:color w:val="000000" w:themeColor="text1"/>
          <w:sz w:val="20"/>
          <w:szCs w:val="20"/>
        </w:rPr>
        <w:t>supervision</w:t>
      </w:r>
      <w:proofErr w:type="gramEnd"/>
      <w:r w:rsidRPr="002757B2">
        <w:rPr>
          <w:color w:val="000000" w:themeColor="text1"/>
          <w:sz w:val="20"/>
          <w:szCs w:val="20"/>
        </w:rPr>
        <w:t xml:space="preserve"> and performance of the group audit. I remain solely responsible for my audit opinion. </w:t>
      </w:r>
    </w:p>
    <w:p w14:paraId="58CB825D" w14:textId="77777777" w:rsidR="00B91979" w:rsidRPr="002757B2" w:rsidRDefault="00B91979" w:rsidP="008B018B">
      <w:pPr>
        <w:pStyle w:val="Default"/>
        <w:jc w:val="thaiDistribute"/>
        <w:rPr>
          <w:color w:val="000000" w:themeColor="text1"/>
          <w:sz w:val="20"/>
          <w:szCs w:val="20"/>
        </w:rPr>
      </w:pPr>
    </w:p>
    <w:p w14:paraId="76EC6BF9" w14:textId="77777777" w:rsidR="00210672" w:rsidRDefault="00210672" w:rsidP="00F67AF3">
      <w:pPr>
        <w:pStyle w:val="Default"/>
        <w:jc w:val="thaiDistribute"/>
        <w:rPr>
          <w:color w:val="000000" w:themeColor="text1"/>
          <w:sz w:val="20"/>
          <w:szCs w:val="20"/>
        </w:rPr>
      </w:pPr>
      <w:r>
        <w:rPr>
          <w:color w:val="000000" w:themeColor="text1"/>
          <w:sz w:val="20"/>
          <w:szCs w:val="20"/>
        </w:rPr>
        <w:br w:type="page"/>
      </w:r>
    </w:p>
    <w:p w14:paraId="1254FEAF" w14:textId="1A242000" w:rsidR="00B91979" w:rsidRPr="002757B2" w:rsidRDefault="00B91979" w:rsidP="00F67AF3">
      <w:pPr>
        <w:pStyle w:val="Default"/>
        <w:jc w:val="thaiDistribute"/>
        <w:rPr>
          <w:color w:val="000000" w:themeColor="text1"/>
          <w:sz w:val="20"/>
          <w:szCs w:val="20"/>
        </w:rPr>
      </w:pPr>
      <w:r w:rsidRPr="002757B2">
        <w:rPr>
          <w:color w:val="000000" w:themeColor="text1"/>
          <w:sz w:val="20"/>
          <w:szCs w:val="20"/>
        </w:rPr>
        <w:lastRenderedPageBreak/>
        <w:t xml:space="preserve">I communicate with </w:t>
      </w:r>
      <w:r w:rsidR="00D0685C" w:rsidRPr="002757B2">
        <w:rPr>
          <w:color w:val="000000" w:themeColor="text1"/>
          <w:sz w:val="20"/>
          <w:szCs w:val="20"/>
        </w:rPr>
        <w:t xml:space="preserve">the audit committee </w:t>
      </w:r>
      <w:r w:rsidRPr="002757B2">
        <w:rPr>
          <w:color w:val="000000" w:themeColor="text1"/>
          <w:sz w:val="20"/>
          <w:szCs w:val="20"/>
        </w:rPr>
        <w:t xml:space="preserve">regarding, among other matters, the planned scope and timing </w:t>
      </w:r>
      <w:r w:rsidRPr="00A92691">
        <w:rPr>
          <w:color w:val="000000" w:themeColor="text1"/>
          <w:spacing w:val="-4"/>
          <w:sz w:val="20"/>
          <w:szCs w:val="20"/>
        </w:rPr>
        <w:t xml:space="preserve">of the audit and significant audit findings, including any significant deficiencies in internal control </w:t>
      </w:r>
      <w:r w:rsidR="0032670A" w:rsidRPr="00A92691">
        <w:rPr>
          <w:color w:val="000000" w:themeColor="text1"/>
          <w:spacing w:val="-4"/>
          <w:sz w:val="20"/>
          <w:szCs w:val="20"/>
        </w:rPr>
        <w:t>that</w:t>
      </w:r>
      <w:r w:rsidR="008B018B" w:rsidRPr="00A92691">
        <w:rPr>
          <w:color w:val="000000" w:themeColor="text1"/>
          <w:spacing w:val="-4"/>
          <w:sz w:val="20"/>
          <w:szCs w:val="20"/>
        </w:rPr>
        <w:t xml:space="preserve"> </w:t>
      </w:r>
      <w:r w:rsidRPr="00A92691">
        <w:rPr>
          <w:color w:val="000000" w:themeColor="text1"/>
          <w:spacing w:val="-4"/>
          <w:sz w:val="20"/>
          <w:szCs w:val="20"/>
        </w:rPr>
        <w:t>I identify</w:t>
      </w:r>
      <w:r w:rsidRPr="002757B2">
        <w:rPr>
          <w:color w:val="000000" w:themeColor="text1"/>
          <w:sz w:val="20"/>
          <w:szCs w:val="20"/>
        </w:rPr>
        <w:t xml:space="preserve"> during my audit. </w:t>
      </w:r>
    </w:p>
    <w:p w14:paraId="61BB2B55" w14:textId="77777777" w:rsidR="00B91979" w:rsidRPr="002757B2" w:rsidRDefault="00B91979" w:rsidP="00F67AF3">
      <w:pPr>
        <w:pStyle w:val="Default"/>
        <w:jc w:val="thaiDistribute"/>
        <w:rPr>
          <w:color w:val="000000" w:themeColor="text1"/>
          <w:sz w:val="20"/>
          <w:szCs w:val="20"/>
        </w:rPr>
      </w:pPr>
    </w:p>
    <w:p w14:paraId="647A38B7" w14:textId="77777777" w:rsidR="00B91979" w:rsidRPr="002757B2" w:rsidRDefault="00B91979" w:rsidP="00F67AF3">
      <w:pPr>
        <w:pStyle w:val="Default"/>
        <w:jc w:val="thaiDistribute"/>
        <w:rPr>
          <w:color w:val="000000" w:themeColor="text1"/>
          <w:sz w:val="20"/>
          <w:szCs w:val="20"/>
        </w:rPr>
      </w:pPr>
      <w:r w:rsidRPr="002757B2">
        <w:rPr>
          <w:color w:val="000000" w:themeColor="text1"/>
          <w:sz w:val="20"/>
          <w:szCs w:val="20"/>
        </w:rPr>
        <w:t xml:space="preserve">I also provide </w:t>
      </w:r>
      <w:r w:rsidR="00D0685C" w:rsidRPr="002757B2">
        <w:rPr>
          <w:color w:val="000000" w:themeColor="text1"/>
          <w:sz w:val="20"/>
          <w:szCs w:val="20"/>
        </w:rPr>
        <w:t xml:space="preserve">the audit committee </w:t>
      </w:r>
      <w:r w:rsidRPr="002757B2">
        <w:rPr>
          <w:color w:val="000000" w:themeColor="text1"/>
          <w:sz w:val="20"/>
          <w:szCs w:val="20"/>
        </w:rPr>
        <w:t>with a statement that I have complied with relevant ethical requirements regarding independence, and to communicate with them all relationships and other matters that may reasonably be thought to bear on my independence, and where applicable, related safeguards.</w:t>
      </w:r>
    </w:p>
    <w:p w14:paraId="3FDEA058" w14:textId="77777777" w:rsidR="00B91979" w:rsidRPr="002757B2" w:rsidRDefault="00B91979" w:rsidP="00F67AF3">
      <w:pPr>
        <w:pStyle w:val="Default"/>
        <w:jc w:val="thaiDistribute"/>
        <w:rPr>
          <w:color w:val="000000" w:themeColor="text1"/>
          <w:sz w:val="20"/>
          <w:szCs w:val="20"/>
        </w:rPr>
      </w:pPr>
    </w:p>
    <w:p w14:paraId="5ABA1DF8" w14:textId="4ED32A32" w:rsidR="00B91979" w:rsidRPr="002757B2" w:rsidRDefault="00B91979" w:rsidP="00F67AF3">
      <w:pPr>
        <w:pStyle w:val="Default"/>
        <w:jc w:val="thaiDistribute"/>
        <w:rPr>
          <w:color w:val="000000" w:themeColor="text1"/>
          <w:sz w:val="20"/>
          <w:szCs w:val="20"/>
        </w:rPr>
      </w:pPr>
      <w:r w:rsidRPr="002757B2">
        <w:rPr>
          <w:color w:val="000000" w:themeColor="text1"/>
          <w:sz w:val="20"/>
          <w:szCs w:val="20"/>
        </w:rPr>
        <w:t xml:space="preserve">From the matters communicated with </w:t>
      </w:r>
      <w:r w:rsidR="00D0685C" w:rsidRPr="002757B2">
        <w:rPr>
          <w:color w:val="000000" w:themeColor="text1"/>
          <w:sz w:val="20"/>
          <w:szCs w:val="20"/>
        </w:rPr>
        <w:t>the audit committee</w:t>
      </w:r>
      <w:r w:rsidRPr="002757B2">
        <w:rPr>
          <w:color w:val="000000" w:themeColor="text1"/>
          <w:sz w:val="20"/>
          <w:szCs w:val="20"/>
        </w:rPr>
        <w:t xml:space="preserve">, I determine those matters that were of most significance in the audit of the </w:t>
      </w:r>
      <w:r w:rsidR="00900250" w:rsidRPr="002757B2">
        <w:rPr>
          <w:color w:val="000000" w:themeColor="text1"/>
          <w:sz w:val="20"/>
          <w:szCs w:val="20"/>
        </w:rPr>
        <w:t xml:space="preserve">consolidated </w:t>
      </w:r>
      <w:r w:rsidR="006E2ABA" w:rsidRPr="002757B2">
        <w:rPr>
          <w:color w:val="000000" w:themeColor="text1"/>
          <w:sz w:val="20"/>
          <w:szCs w:val="20"/>
        </w:rPr>
        <w:t xml:space="preserve">and separate </w:t>
      </w:r>
      <w:r w:rsidRPr="002757B2">
        <w:rPr>
          <w:color w:val="000000" w:themeColor="text1"/>
          <w:sz w:val="20"/>
          <w:szCs w:val="20"/>
        </w:rPr>
        <w:t xml:space="preserve">financial statements of the current period and are therefore the key audit matter. I describe the matter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2FD8D8AD" w14:textId="1C405995" w:rsidR="00D0685C" w:rsidRPr="007C4A36" w:rsidRDefault="00D0685C">
      <w:pPr>
        <w:suppressAutoHyphens/>
        <w:spacing w:after="0" w:line="240" w:lineRule="auto"/>
        <w:rPr>
          <w:rFonts w:ascii="Arial" w:hAnsi="Arial" w:cs="Arial"/>
          <w:color w:val="000000" w:themeColor="text1"/>
          <w:sz w:val="20"/>
          <w:szCs w:val="20"/>
        </w:rPr>
      </w:pPr>
    </w:p>
    <w:p w14:paraId="6BB973C1" w14:textId="77777777" w:rsidR="002B5EEE" w:rsidRPr="002757B2" w:rsidRDefault="002B5EEE">
      <w:pPr>
        <w:suppressAutoHyphens/>
        <w:spacing w:after="0" w:line="240" w:lineRule="auto"/>
        <w:rPr>
          <w:rFonts w:ascii="Arial" w:hAnsi="Arial" w:cs="Arial"/>
          <w:color w:val="000000" w:themeColor="text1"/>
          <w:sz w:val="20"/>
          <w:szCs w:val="20"/>
          <w:lang w:val="en-US"/>
        </w:rPr>
      </w:pPr>
    </w:p>
    <w:p w14:paraId="2CFD449C" w14:textId="77777777" w:rsidR="00D0685C" w:rsidRPr="002757B2" w:rsidRDefault="00D0685C">
      <w:pPr>
        <w:suppressAutoHyphens/>
        <w:spacing w:after="0" w:line="240" w:lineRule="auto"/>
        <w:rPr>
          <w:rFonts w:ascii="Arial" w:hAnsi="Arial" w:cs="Arial"/>
          <w:color w:val="000000" w:themeColor="text1"/>
          <w:sz w:val="20"/>
          <w:szCs w:val="20"/>
          <w:lang w:val="en-US"/>
        </w:rPr>
      </w:pPr>
      <w:r w:rsidRPr="002757B2">
        <w:rPr>
          <w:rFonts w:ascii="Arial" w:hAnsi="Arial" w:cs="Arial"/>
          <w:color w:val="000000" w:themeColor="text1"/>
          <w:sz w:val="20"/>
          <w:szCs w:val="20"/>
          <w:lang w:val="en-US"/>
        </w:rPr>
        <w:t>PricewaterhouseCoopers ABAS Ltd.</w:t>
      </w:r>
    </w:p>
    <w:p w14:paraId="0B3DCD65" w14:textId="77777777" w:rsidR="008D64B8" w:rsidRPr="002757B2" w:rsidRDefault="008D64B8">
      <w:pPr>
        <w:pStyle w:val="Default"/>
        <w:rPr>
          <w:color w:val="000000" w:themeColor="text1"/>
          <w:sz w:val="20"/>
          <w:szCs w:val="20"/>
        </w:rPr>
      </w:pPr>
    </w:p>
    <w:p w14:paraId="5CFD626C" w14:textId="77777777" w:rsidR="000D55B0" w:rsidRPr="002757B2" w:rsidRDefault="000D55B0">
      <w:pPr>
        <w:suppressAutoHyphens/>
        <w:spacing w:after="0" w:line="240" w:lineRule="auto"/>
        <w:rPr>
          <w:rFonts w:ascii="Arial" w:hAnsi="Arial" w:cs="Arial"/>
          <w:color w:val="000000" w:themeColor="text1"/>
          <w:sz w:val="20"/>
          <w:szCs w:val="20"/>
        </w:rPr>
      </w:pPr>
    </w:p>
    <w:p w14:paraId="7FB5B50D" w14:textId="77777777" w:rsidR="003D3D27" w:rsidRPr="002757B2" w:rsidRDefault="003D3D27">
      <w:pPr>
        <w:suppressAutoHyphens/>
        <w:spacing w:after="0" w:line="240" w:lineRule="auto"/>
        <w:rPr>
          <w:rFonts w:ascii="Arial" w:hAnsi="Arial" w:cs="Arial"/>
          <w:color w:val="000000" w:themeColor="text1"/>
          <w:sz w:val="20"/>
          <w:szCs w:val="20"/>
        </w:rPr>
      </w:pPr>
    </w:p>
    <w:p w14:paraId="78EFC288" w14:textId="77777777" w:rsidR="003D3D27" w:rsidRPr="002757B2" w:rsidRDefault="003D3D27">
      <w:pPr>
        <w:suppressAutoHyphens/>
        <w:spacing w:after="0" w:line="240" w:lineRule="auto"/>
        <w:rPr>
          <w:rFonts w:ascii="Arial" w:hAnsi="Arial" w:cs="Arial"/>
          <w:color w:val="000000" w:themeColor="text1"/>
          <w:sz w:val="20"/>
          <w:szCs w:val="20"/>
        </w:rPr>
      </w:pPr>
    </w:p>
    <w:p w14:paraId="2106E3B4" w14:textId="77777777" w:rsidR="003D3D27" w:rsidRPr="002757B2" w:rsidRDefault="003D3D27">
      <w:pPr>
        <w:suppressAutoHyphens/>
        <w:spacing w:after="0" w:line="240" w:lineRule="auto"/>
        <w:rPr>
          <w:rFonts w:ascii="Arial" w:hAnsi="Arial" w:cs="Arial"/>
          <w:color w:val="000000" w:themeColor="text1"/>
          <w:sz w:val="20"/>
          <w:szCs w:val="20"/>
        </w:rPr>
      </w:pPr>
    </w:p>
    <w:p w14:paraId="205A3374" w14:textId="77777777" w:rsidR="003D3D27" w:rsidRPr="002757B2" w:rsidRDefault="003D3D27">
      <w:pPr>
        <w:suppressAutoHyphens/>
        <w:spacing w:after="0" w:line="240" w:lineRule="auto"/>
        <w:rPr>
          <w:rFonts w:ascii="Arial" w:hAnsi="Arial" w:cs="Arial"/>
          <w:color w:val="000000" w:themeColor="text1"/>
          <w:sz w:val="20"/>
          <w:szCs w:val="20"/>
        </w:rPr>
      </w:pPr>
    </w:p>
    <w:p w14:paraId="3F74B26C" w14:textId="77777777" w:rsidR="003D3D27" w:rsidRPr="002757B2" w:rsidRDefault="003D3D27">
      <w:pPr>
        <w:suppressAutoHyphens/>
        <w:spacing w:after="0" w:line="240" w:lineRule="auto"/>
        <w:rPr>
          <w:rFonts w:ascii="Arial" w:hAnsi="Arial" w:cs="Arial"/>
          <w:color w:val="000000" w:themeColor="text1"/>
          <w:sz w:val="20"/>
          <w:szCs w:val="20"/>
        </w:rPr>
      </w:pPr>
    </w:p>
    <w:p w14:paraId="09F0891D" w14:textId="69AB1A2A" w:rsidR="005B1E87" w:rsidRPr="002757B2" w:rsidRDefault="00CB0A8C">
      <w:pPr>
        <w:suppressAutoHyphens/>
        <w:spacing w:after="0" w:line="240" w:lineRule="auto"/>
        <w:rPr>
          <w:rFonts w:ascii="Arial" w:hAnsi="Arial" w:cs="Arial"/>
          <w:color w:val="000000" w:themeColor="text1"/>
          <w:sz w:val="20"/>
          <w:szCs w:val="20"/>
          <w:lang w:val="en-US"/>
        </w:rPr>
      </w:pPr>
      <w:proofErr w:type="spellStart"/>
      <w:r>
        <w:rPr>
          <w:rFonts w:ascii="Arial" w:hAnsi="Arial" w:cs="Arial"/>
          <w:b/>
          <w:bCs/>
          <w:color w:val="000000" w:themeColor="text1"/>
          <w:sz w:val="20"/>
          <w:szCs w:val="20"/>
          <w:lang w:val="en-US"/>
        </w:rPr>
        <w:t>Boonrueng</w:t>
      </w:r>
      <w:proofErr w:type="spellEnd"/>
      <w:r>
        <w:rPr>
          <w:rFonts w:ascii="Arial" w:hAnsi="Arial" w:cs="Arial"/>
          <w:b/>
          <w:bCs/>
          <w:color w:val="000000" w:themeColor="text1"/>
          <w:sz w:val="20"/>
          <w:szCs w:val="20"/>
          <w:lang w:val="en-US"/>
        </w:rPr>
        <w:t xml:space="preserve"> </w:t>
      </w:r>
      <w:r w:rsidR="00A47487">
        <w:rPr>
          <w:rFonts w:ascii="Arial" w:hAnsi="Arial" w:cs="Arial"/>
          <w:b/>
          <w:bCs/>
          <w:color w:val="000000" w:themeColor="text1"/>
          <w:sz w:val="20"/>
          <w:szCs w:val="20"/>
          <w:lang w:val="en-US"/>
        </w:rPr>
        <w:t xml:space="preserve"> </w:t>
      </w:r>
      <w:proofErr w:type="spellStart"/>
      <w:r>
        <w:rPr>
          <w:rFonts w:ascii="Arial" w:hAnsi="Arial" w:cs="Arial"/>
          <w:b/>
          <w:bCs/>
          <w:color w:val="000000" w:themeColor="text1"/>
          <w:sz w:val="20"/>
          <w:szCs w:val="20"/>
          <w:lang w:val="en-US"/>
        </w:rPr>
        <w:t>Lerdwiseswit</w:t>
      </w:r>
      <w:proofErr w:type="spellEnd"/>
      <w:r>
        <w:rPr>
          <w:rFonts w:ascii="Arial" w:hAnsi="Arial" w:cs="Arial"/>
          <w:b/>
          <w:bCs/>
          <w:color w:val="000000" w:themeColor="text1"/>
          <w:sz w:val="20"/>
          <w:szCs w:val="20"/>
          <w:lang w:val="en-US"/>
        </w:rPr>
        <w:t xml:space="preserve"> </w:t>
      </w:r>
    </w:p>
    <w:p w14:paraId="6BC8E5B0" w14:textId="77777777" w:rsidR="005B1E87" w:rsidRPr="002757B2" w:rsidRDefault="005B1E87">
      <w:pPr>
        <w:suppressAutoHyphens/>
        <w:spacing w:after="0" w:line="240" w:lineRule="auto"/>
        <w:rPr>
          <w:rFonts w:ascii="Arial" w:hAnsi="Arial" w:cs="Arial"/>
          <w:i/>
          <w:color w:val="000000" w:themeColor="text1"/>
          <w:sz w:val="20"/>
          <w:szCs w:val="20"/>
          <w:lang w:val="en-US"/>
        </w:rPr>
      </w:pPr>
      <w:r w:rsidRPr="002757B2">
        <w:rPr>
          <w:rFonts w:ascii="Arial" w:hAnsi="Arial" w:cs="Arial"/>
          <w:color w:val="000000" w:themeColor="text1"/>
          <w:sz w:val="20"/>
          <w:szCs w:val="20"/>
          <w:lang w:val="en-US"/>
        </w:rPr>
        <w:t xml:space="preserve">Certified Public Accountant (Thailand) No. </w:t>
      </w:r>
      <w:r w:rsidR="00CB0A8C">
        <w:rPr>
          <w:rFonts w:ascii="Arial" w:hAnsi="Arial" w:cs="Arial"/>
          <w:color w:val="000000" w:themeColor="text1"/>
          <w:sz w:val="20"/>
          <w:szCs w:val="20"/>
          <w:lang w:val="en-US"/>
        </w:rPr>
        <w:t>6552</w:t>
      </w:r>
    </w:p>
    <w:p w14:paraId="15208E12" w14:textId="77777777" w:rsidR="005B1E87" w:rsidRPr="002757B2" w:rsidRDefault="005B1E87">
      <w:pPr>
        <w:suppressAutoHyphens/>
        <w:spacing w:after="0" w:line="240" w:lineRule="auto"/>
        <w:rPr>
          <w:rFonts w:ascii="Arial" w:hAnsi="Arial" w:cs="Arial"/>
          <w:color w:val="000000" w:themeColor="text1"/>
          <w:sz w:val="20"/>
          <w:szCs w:val="20"/>
          <w:lang w:val="en-US"/>
        </w:rPr>
      </w:pPr>
      <w:r w:rsidRPr="002757B2">
        <w:rPr>
          <w:rFonts w:ascii="Arial" w:hAnsi="Arial" w:cs="Arial"/>
          <w:color w:val="000000" w:themeColor="text1"/>
          <w:sz w:val="20"/>
          <w:szCs w:val="20"/>
          <w:lang w:val="en-US"/>
        </w:rPr>
        <w:t>Bangkok</w:t>
      </w:r>
    </w:p>
    <w:p w14:paraId="1CF70934" w14:textId="1CD83172" w:rsidR="003D3D27" w:rsidRPr="00CB0A8C" w:rsidRDefault="00E01593">
      <w:pPr>
        <w:suppressAutoHyphens/>
        <w:spacing w:after="0" w:line="240" w:lineRule="auto"/>
        <w:rPr>
          <w:rFonts w:ascii="Arial" w:hAnsi="Arial" w:cs="Arial"/>
          <w:color w:val="000000" w:themeColor="text1"/>
          <w:sz w:val="20"/>
          <w:szCs w:val="20"/>
          <w:lang w:val="en-US"/>
        </w:rPr>
      </w:pPr>
      <w:r>
        <w:rPr>
          <w:rFonts w:ascii="Arial" w:hAnsi="Arial" w:cs="Arial"/>
          <w:color w:val="000000" w:themeColor="text1"/>
          <w:sz w:val="20"/>
          <w:szCs w:val="20"/>
          <w:lang w:val="en-US"/>
        </w:rPr>
        <w:t>1</w:t>
      </w:r>
      <w:r w:rsidR="00136ABA">
        <w:rPr>
          <w:rFonts w:ascii="Arial" w:hAnsi="Arial" w:cs="Arial"/>
          <w:color w:val="000000" w:themeColor="text1"/>
          <w:sz w:val="20"/>
          <w:szCs w:val="20"/>
          <w:lang w:val="en-US"/>
        </w:rPr>
        <w:t>5</w:t>
      </w:r>
      <w:r w:rsidR="00CB0A8C" w:rsidRPr="00CB0A8C">
        <w:rPr>
          <w:rFonts w:ascii="Arial" w:hAnsi="Arial" w:cs="Arial"/>
          <w:color w:val="000000" w:themeColor="text1"/>
          <w:sz w:val="20"/>
          <w:szCs w:val="20"/>
          <w:lang w:val="en-US"/>
        </w:rPr>
        <w:t xml:space="preserve"> February 202</w:t>
      </w:r>
      <w:r w:rsidR="009213F3">
        <w:rPr>
          <w:rFonts w:ascii="Arial" w:hAnsi="Arial" w:cs="Arial"/>
          <w:color w:val="000000" w:themeColor="text1"/>
          <w:sz w:val="20"/>
          <w:szCs w:val="20"/>
          <w:lang w:val="en-US"/>
        </w:rPr>
        <w:t>2</w:t>
      </w:r>
    </w:p>
    <w:sectPr w:rsidR="003D3D27" w:rsidRPr="00CB0A8C" w:rsidSect="00B06513">
      <w:headerReference w:type="default" r:id="rId9"/>
      <w:pgSz w:w="11909" w:h="16834" w:code="9"/>
      <w:pgMar w:top="2880" w:right="720" w:bottom="720" w:left="1985" w:header="141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A210F5" w14:textId="77777777" w:rsidR="00E4081F" w:rsidRDefault="00E4081F" w:rsidP="001D338E">
      <w:pPr>
        <w:spacing w:after="0" w:line="240" w:lineRule="auto"/>
      </w:pPr>
      <w:r>
        <w:separator/>
      </w:r>
    </w:p>
  </w:endnote>
  <w:endnote w:type="continuationSeparator" w:id="0">
    <w:p w14:paraId="415DD2FC" w14:textId="77777777" w:rsidR="00E4081F" w:rsidRDefault="00E4081F"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F19EFB" w14:textId="77777777" w:rsidR="00E4081F" w:rsidRDefault="00E4081F" w:rsidP="001D338E">
      <w:pPr>
        <w:spacing w:after="0" w:line="240" w:lineRule="auto"/>
      </w:pPr>
      <w:r>
        <w:separator/>
      </w:r>
    </w:p>
  </w:footnote>
  <w:footnote w:type="continuationSeparator" w:id="0">
    <w:p w14:paraId="5EC1485A" w14:textId="77777777" w:rsidR="00E4081F" w:rsidRDefault="00E4081F"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93395" w14:textId="0D29FC5A" w:rsidR="00FA6ED3" w:rsidRPr="001B0AB1" w:rsidRDefault="00FA6ED3" w:rsidP="00A47487">
    <w:pPr>
      <w:pStyle w:val="Default"/>
      <w:jc w:val="thaiDistribute"/>
      <w:rPr>
        <w:color w:val="FFFFFF" w:themeColor="background1"/>
      </w:rPr>
    </w:pPr>
    <w:r w:rsidRPr="001B0AB1">
      <w:rPr>
        <w:b/>
        <w:bCs/>
        <w:color w:val="FFFFFF" w:themeColor="background1"/>
      </w:rPr>
      <w:t xml:space="preserve">Template: Auditor’s report on the consolidated and separate financial statements of a listed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6479BE" w14:textId="77777777" w:rsidR="005D072C" w:rsidRPr="005D072C" w:rsidRDefault="005D072C" w:rsidP="005D0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D205C"/>
    <w:multiLevelType w:val="hybridMultilevel"/>
    <w:tmpl w:val="1DE2B2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89345E3"/>
    <w:multiLevelType w:val="hybridMultilevel"/>
    <w:tmpl w:val="5C5EDB4E"/>
    <w:lvl w:ilvl="0" w:tplc="E6A6362C">
      <w:start w:val="1"/>
      <w:numFmt w:val="bullet"/>
      <w:lvlText w:val=""/>
      <w:lvlJc w:val="left"/>
      <w:pPr>
        <w:tabs>
          <w:tab w:val="num" w:pos="720"/>
        </w:tabs>
        <w:ind w:left="720" w:hanging="360"/>
      </w:pPr>
      <w:rPr>
        <w:rFonts w:ascii="Symbol" w:hAnsi="Symbol" w:hint="default"/>
        <w:color w:val="CF4A02"/>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25A6EEB"/>
    <w:multiLevelType w:val="hybridMultilevel"/>
    <w:tmpl w:val="9EB036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58C848CE"/>
    <w:multiLevelType w:val="hybridMultilevel"/>
    <w:tmpl w:val="7374C8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F550EA6"/>
    <w:multiLevelType w:val="hybridMultilevel"/>
    <w:tmpl w:val="4DC26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3C004CE"/>
    <w:multiLevelType w:val="hybridMultilevel"/>
    <w:tmpl w:val="558C334C"/>
    <w:lvl w:ilvl="0" w:tplc="3ADEC2A2">
      <w:start w:val="1"/>
      <w:numFmt w:val="bullet"/>
      <w:lvlText w:val=""/>
      <w:lvlJc w:val="left"/>
      <w:pPr>
        <w:ind w:left="720" w:hanging="360"/>
      </w:pPr>
      <w:rPr>
        <w:rFonts w:ascii="Symbol" w:hAnsi="Symbol" w:hint="default"/>
        <w:color w:val="CF4A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8"/>
  </w:num>
  <w:num w:numId="3">
    <w:abstractNumId w:val="4"/>
  </w:num>
  <w:num w:numId="4">
    <w:abstractNumId w:val="3"/>
  </w:num>
  <w:num w:numId="5">
    <w:abstractNumId w:val="7"/>
  </w:num>
  <w:num w:numId="6">
    <w:abstractNumId w:val="0"/>
  </w:num>
  <w:num w:numId="7">
    <w:abstractNumId w:val="5"/>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17"/>
    <w:rsid w:val="00010068"/>
    <w:rsid w:val="000165F2"/>
    <w:rsid w:val="000225EB"/>
    <w:rsid w:val="000255F8"/>
    <w:rsid w:val="000A6870"/>
    <w:rsid w:val="000D3728"/>
    <w:rsid w:val="000D55B0"/>
    <w:rsid w:val="000D73C6"/>
    <w:rsid w:val="0011601B"/>
    <w:rsid w:val="00117DF7"/>
    <w:rsid w:val="00136ABA"/>
    <w:rsid w:val="0015536E"/>
    <w:rsid w:val="00155524"/>
    <w:rsid w:val="00155CE3"/>
    <w:rsid w:val="00183835"/>
    <w:rsid w:val="001914F3"/>
    <w:rsid w:val="0019499D"/>
    <w:rsid w:val="001A57AF"/>
    <w:rsid w:val="001B0AB1"/>
    <w:rsid w:val="001D338E"/>
    <w:rsid w:val="001D69A9"/>
    <w:rsid w:val="001D6AB4"/>
    <w:rsid w:val="001E23F2"/>
    <w:rsid w:val="001E54A5"/>
    <w:rsid w:val="001F0191"/>
    <w:rsid w:val="001F3F84"/>
    <w:rsid w:val="00210672"/>
    <w:rsid w:val="00212260"/>
    <w:rsid w:val="00220F69"/>
    <w:rsid w:val="00226F0C"/>
    <w:rsid w:val="00231AB9"/>
    <w:rsid w:val="002358BD"/>
    <w:rsid w:val="00240078"/>
    <w:rsid w:val="00245AA6"/>
    <w:rsid w:val="00254692"/>
    <w:rsid w:val="00272B60"/>
    <w:rsid w:val="00274A61"/>
    <w:rsid w:val="002757B2"/>
    <w:rsid w:val="0027680D"/>
    <w:rsid w:val="00293140"/>
    <w:rsid w:val="002B5EEE"/>
    <w:rsid w:val="002C6202"/>
    <w:rsid w:val="002D0EEA"/>
    <w:rsid w:val="002D2FF7"/>
    <w:rsid w:val="002D54B5"/>
    <w:rsid w:val="002E62F0"/>
    <w:rsid w:val="002F280C"/>
    <w:rsid w:val="0032626D"/>
    <w:rsid w:val="0032670A"/>
    <w:rsid w:val="0034029B"/>
    <w:rsid w:val="00341CAE"/>
    <w:rsid w:val="003432D2"/>
    <w:rsid w:val="00351086"/>
    <w:rsid w:val="0035303A"/>
    <w:rsid w:val="003565C8"/>
    <w:rsid w:val="00366074"/>
    <w:rsid w:val="00382E88"/>
    <w:rsid w:val="003B01B9"/>
    <w:rsid w:val="003B4694"/>
    <w:rsid w:val="003D3D27"/>
    <w:rsid w:val="003E4322"/>
    <w:rsid w:val="003F06EF"/>
    <w:rsid w:val="003F125C"/>
    <w:rsid w:val="003F31CA"/>
    <w:rsid w:val="003F6DC6"/>
    <w:rsid w:val="00411C81"/>
    <w:rsid w:val="00414571"/>
    <w:rsid w:val="004218B7"/>
    <w:rsid w:val="00423916"/>
    <w:rsid w:val="00423E70"/>
    <w:rsid w:val="00433A38"/>
    <w:rsid w:val="00453BBE"/>
    <w:rsid w:val="00484906"/>
    <w:rsid w:val="00487F67"/>
    <w:rsid w:val="0049535D"/>
    <w:rsid w:val="004A213E"/>
    <w:rsid w:val="004C0AB0"/>
    <w:rsid w:val="004D5A37"/>
    <w:rsid w:val="004E0135"/>
    <w:rsid w:val="004F3206"/>
    <w:rsid w:val="004F3ABD"/>
    <w:rsid w:val="004F5E71"/>
    <w:rsid w:val="00502230"/>
    <w:rsid w:val="00523552"/>
    <w:rsid w:val="005237A1"/>
    <w:rsid w:val="00524C40"/>
    <w:rsid w:val="00541B8E"/>
    <w:rsid w:val="00562E0D"/>
    <w:rsid w:val="00565DDE"/>
    <w:rsid w:val="005940C1"/>
    <w:rsid w:val="005A2B60"/>
    <w:rsid w:val="005A3C8B"/>
    <w:rsid w:val="005A6238"/>
    <w:rsid w:val="005B1E87"/>
    <w:rsid w:val="005B49D6"/>
    <w:rsid w:val="005D02E2"/>
    <w:rsid w:val="005D072C"/>
    <w:rsid w:val="005D2740"/>
    <w:rsid w:val="005E3E6C"/>
    <w:rsid w:val="005F1C97"/>
    <w:rsid w:val="00601DC8"/>
    <w:rsid w:val="00620568"/>
    <w:rsid w:val="0064199D"/>
    <w:rsid w:val="00653860"/>
    <w:rsid w:val="00654F92"/>
    <w:rsid w:val="00657C8B"/>
    <w:rsid w:val="0066494D"/>
    <w:rsid w:val="006651E7"/>
    <w:rsid w:val="00673BE1"/>
    <w:rsid w:val="006740AE"/>
    <w:rsid w:val="006845E9"/>
    <w:rsid w:val="00684C98"/>
    <w:rsid w:val="00686D35"/>
    <w:rsid w:val="00694F4F"/>
    <w:rsid w:val="006A1977"/>
    <w:rsid w:val="006E26D3"/>
    <w:rsid w:val="006E2ABA"/>
    <w:rsid w:val="006E3CD2"/>
    <w:rsid w:val="006E73A1"/>
    <w:rsid w:val="006F0131"/>
    <w:rsid w:val="00711EFC"/>
    <w:rsid w:val="0072246B"/>
    <w:rsid w:val="00732229"/>
    <w:rsid w:val="00740745"/>
    <w:rsid w:val="00741FCD"/>
    <w:rsid w:val="0074210C"/>
    <w:rsid w:val="00742EBD"/>
    <w:rsid w:val="00745321"/>
    <w:rsid w:val="00747C86"/>
    <w:rsid w:val="00755172"/>
    <w:rsid w:val="00756973"/>
    <w:rsid w:val="00762372"/>
    <w:rsid w:val="00771B97"/>
    <w:rsid w:val="00772075"/>
    <w:rsid w:val="007824FB"/>
    <w:rsid w:val="00790517"/>
    <w:rsid w:val="00797D0D"/>
    <w:rsid w:val="007A3ACC"/>
    <w:rsid w:val="007B209C"/>
    <w:rsid w:val="007B77C0"/>
    <w:rsid w:val="007C4A36"/>
    <w:rsid w:val="007C567C"/>
    <w:rsid w:val="0083580C"/>
    <w:rsid w:val="00846407"/>
    <w:rsid w:val="0084738F"/>
    <w:rsid w:val="00863A30"/>
    <w:rsid w:val="008640AC"/>
    <w:rsid w:val="008658BE"/>
    <w:rsid w:val="00875CC6"/>
    <w:rsid w:val="008813F4"/>
    <w:rsid w:val="00886FDA"/>
    <w:rsid w:val="008877E2"/>
    <w:rsid w:val="00890272"/>
    <w:rsid w:val="00894CB2"/>
    <w:rsid w:val="008A4E40"/>
    <w:rsid w:val="008B018B"/>
    <w:rsid w:val="008C1E9C"/>
    <w:rsid w:val="008D0003"/>
    <w:rsid w:val="008D35FC"/>
    <w:rsid w:val="008D64B8"/>
    <w:rsid w:val="008E01B3"/>
    <w:rsid w:val="008E0FC2"/>
    <w:rsid w:val="00900250"/>
    <w:rsid w:val="009009AE"/>
    <w:rsid w:val="00906B28"/>
    <w:rsid w:val="00911CDD"/>
    <w:rsid w:val="00915805"/>
    <w:rsid w:val="009164FB"/>
    <w:rsid w:val="009213F3"/>
    <w:rsid w:val="00922275"/>
    <w:rsid w:val="00942F07"/>
    <w:rsid w:val="00943E4D"/>
    <w:rsid w:val="00951558"/>
    <w:rsid w:val="00961665"/>
    <w:rsid w:val="00990690"/>
    <w:rsid w:val="00995360"/>
    <w:rsid w:val="009A1CE7"/>
    <w:rsid w:val="009B2C68"/>
    <w:rsid w:val="009C0968"/>
    <w:rsid w:val="009C6682"/>
    <w:rsid w:val="009D6C4B"/>
    <w:rsid w:val="009E67FA"/>
    <w:rsid w:val="009F1110"/>
    <w:rsid w:val="00A00386"/>
    <w:rsid w:val="00A019FF"/>
    <w:rsid w:val="00A17A61"/>
    <w:rsid w:val="00A17EC3"/>
    <w:rsid w:val="00A2461A"/>
    <w:rsid w:val="00A24C73"/>
    <w:rsid w:val="00A2674A"/>
    <w:rsid w:val="00A3737F"/>
    <w:rsid w:val="00A44A7A"/>
    <w:rsid w:val="00A44D9A"/>
    <w:rsid w:val="00A47487"/>
    <w:rsid w:val="00A51D13"/>
    <w:rsid w:val="00A60355"/>
    <w:rsid w:val="00A61058"/>
    <w:rsid w:val="00A6643C"/>
    <w:rsid w:val="00A70770"/>
    <w:rsid w:val="00A744DF"/>
    <w:rsid w:val="00A75E6B"/>
    <w:rsid w:val="00A80C46"/>
    <w:rsid w:val="00A92691"/>
    <w:rsid w:val="00AA3D7F"/>
    <w:rsid w:val="00AB7981"/>
    <w:rsid w:val="00AC038F"/>
    <w:rsid w:val="00AC1524"/>
    <w:rsid w:val="00AD2313"/>
    <w:rsid w:val="00AE1458"/>
    <w:rsid w:val="00AE4390"/>
    <w:rsid w:val="00AF7479"/>
    <w:rsid w:val="00B05522"/>
    <w:rsid w:val="00B06513"/>
    <w:rsid w:val="00B06BC2"/>
    <w:rsid w:val="00B15C07"/>
    <w:rsid w:val="00B41448"/>
    <w:rsid w:val="00B537F6"/>
    <w:rsid w:val="00B74179"/>
    <w:rsid w:val="00B86C09"/>
    <w:rsid w:val="00B91979"/>
    <w:rsid w:val="00BA46DF"/>
    <w:rsid w:val="00BA7341"/>
    <w:rsid w:val="00BB4566"/>
    <w:rsid w:val="00BC109E"/>
    <w:rsid w:val="00BC5F8C"/>
    <w:rsid w:val="00BD5FF4"/>
    <w:rsid w:val="00BD7BC8"/>
    <w:rsid w:val="00BE5305"/>
    <w:rsid w:val="00BE6709"/>
    <w:rsid w:val="00BF3234"/>
    <w:rsid w:val="00BF4028"/>
    <w:rsid w:val="00BF408C"/>
    <w:rsid w:val="00BF56BC"/>
    <w:rsid w:val="00BF636F"/>
    <w:rsid w:val="00C17413"/>
    <w:rsid w:val="00C24903"/>
    <w:rsid w:val="00C46DA4"/>
    <w:rsid w:val="00C47427"/>
    <w:rsid w:val="00C5035E"/>
    <w:rsid w:val="00C53C28"/>
    <w:rsid w:val="00C55BA6"/>
    <w:rsid w:val="00C711B0"/>
    <w:rsid w:val="00C76825"/>
    <w:rsid w:val="00C849A2"/>
    <w:rsid w:val="00CA4A30"/>
    <w:rsid w:val="00CB0A8C"/>
    <w:rsid w:val="00CB5400"/>
    <w:rsid w:val="00CC31F6"/>
    <w:rsid w:val="00CD277C"/>
    <w:rsid w:val="00CE0DD6"/>
    <w:rsid w:val="00CF1407"/>
    <w:rsid w:val="00D010E7"/>
    <w:rsid w:val="00D05EA4"/>
    <w:rsid w:val="00D0685C"/>
    <w:rsid w:val="00D11F81"/>
    <w:rsid w:val="00D1775D"/>
    <w:rsid w:val="00D52E07"/>
    <w:rsid w:val="00D55385"/>
    <w:rsid w:val="00D66811"/>
    <w:rsid w:val="00D67C92"/>
    <w:rsid w:val="00D75579"/>
    <w:rsid w:val="00D7661B"/>
    <w:rsid w:val="00D902B7"/>
    <w:rsid w:val="00D95425"/>
    <w:rsid w:val="00D957E4"/>
    <w:rsid w:val="00DA2AE6"/>
    <w:rsid w:val="00DB14CE"/>
    <w:rsid w:val="00DB44FA"/>
    <w:rsid w:val="00DB765A"/>
    <w:rsid w:val="00DC1C7A"/>
    <w:rsid w:val="00DD65DC"/>
    <w:rsid w:val="00DE2817"/>
    <w:rsid w:val="00DF1D9E"/>
    <w:rsid w:val="00DF2EFD"/>
    <w:rsid w:val="00E01593"/>
    <w:rsid w:val="00E0219F"/>
    <w:rsid w:val="00E07F94"/>
    <w:rsid w:val="00E23C59"/>
    <w:rsid w:val="00E304A2"/>
    <w:rsid w:val="00E3702E"/>
    <w:rsid w:val="00E4081F"/>
    <w:rsid w:val="00E42A58"/>
    <w:rsid w:val="00E45FCA"/>
    <w:rsid w:val="00E507A3"/>
    <w:rsid w:val="00E94227"/>
    <w:rsid w:val="00EA5729"/>
    <w:rsid w:val="00EB1130"/>
    <w:rsid w:val="00EB6175"/>
    <w:rsid w:val="00ED70EB"/>
    <w:rsid w:val="00EF26F0"/>
    <w:rsid w:val="00F119E0"/>
    <w:rsid w:val="00F317B3"/>
    <w:rsid w:val="00F33792"/>
    <w:rsid w:val="00F55049"/>
    <w:rsid w:val="00F66446"/>
    <w:rsid w:val="00F67AF3"/>
    <w:rsid w:val="00F7138E"/>
    <w:rsid w:val="00F81D96"/>
    <w:rsid w:val="00F822F5"/>
    <w:rsid w:val="00F90D4C"/>
    <w:rsid w:val="00F90E1D"/>
    <w:rsid w:val="00F969C9"/>
    <w:rsid w:val="00FA6ED3"/>
    <w:rsid w:val="00FC0F37"/>
    <w:rsid w:val="00FC64F9"/>
    <w:rsid w:val="00FD3E3F"/>
    <w:rsid w:val="00FE4939"/>
    <w:rsid w:val="00FE5851"/>
    <w:rsid w:val="00FE5E54"/>
    <w:rsid w:val="00FE6CF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C0275A"/>
  <w15:chartTrackingRefBased/>
  <w15:docId w15:val="{11436D21-2B3A-41AA-A875-249056E2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 w:type="paragraph" w:styleId="CommentText">
    <w:name w:val="annotation text"/>
    <w:basedOn w:val="Normal"/>
    <w:link w:val="CommentTextChar"/>
    <w:uiPriority w:val="99"/>
    <w:unhideWhenUsed/>
    <w:rsid w:val="00BE5305"/>
    <w:rPr>
      <w:rFonts w:ascii="Georgia" w:eastAsia="Arial" w:hAnsi="Georgia" w:cs="Angsana New"/>
      <w:sz w:val="20"/>
      <w:szCs w:val="20"/>
      <w:lang w:val="en-US" w:bidi="ar-SA"/>
    </w:rPr>
  </w:style>
  <w:style w:type="character" w:customStyle="1" w:styleId="CommentTextChar">
    <w:name w:val="Comment Text Char"/>
    <w:basedOn w:val="DefaultParagraphFont"/>
    <w:link w:val="CommentText"/>
    <w:uiPriority w:val="99"/>
    <w:rsid w:val="00BE5305"/>
    <w:rPr>
      <w:rFonts w:ascii="Georgia" w:eastAsia="Arial" w:hAnsi="Georgia" w:cs="Angsana New"/>
      <w:sz w:val="20"/>
      <w:szCs w:val="20"/>
      <w:lang w:val="en-US" w:bidi="ar-SA"/>
    </w:rPr>
  </w:style>
  <w:style w:type="character" w:styleId="CommentReference">
    <w:name w:val="annotation reference"/>
    <w:basedOn w:val="DefaultParagraphFont"/>
    <w:uiPriority w:val="99"/>
    <w:semiHidden/>
    <w:unhideWhenUsed/>
    <w:rsid w:val="00BE530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805926640">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493879372">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9C0A3-BC00-44BC-8FAD-16C87171A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2001</Words>
  <Characters>11409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Nongluck Amornsathit (TH)</cp:lastModifiedBy>
  <cp:revision>7</cp:revision>
  <cp:lastPrinted>2022-02-14T08:29:00Z</cp:lastPrinted>
  <dcterms:created xsi:type="dcterms:W3CDTF">2022-02-10T06:20:00Z</dcterms:created>
  <dcterms:modified xsi:type="dcterms:W3CDTF">2022-02-14T08:29:00Z</dcterms:modified>
</cp:coreProperties>
</file>